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94" w:rsidRPr="00177194" w:rsidRDefault="00177194" w:rsidP="004008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lang w:val="es-ES"/>
        </w:rPr>
      </w:pPr>
      <w:bookmarkStart w:id="0" w:name="_GoBack"/>
      <w:bookmarkEnd w:id="0"/>
      <w:r w:rsidRPr="00177194">
        <w:rPr>
          <w:rFonts w:cstheme="minorHAnsi"/>
          <w:b/>
          <w:sz w:val="24"/>
          <w:szCs w:val="24"/>
          <w:lang w:val="es-ES"/>
        </w:rPr>
        <w:t xml:space="preserve">Relatoría </w:t>
      </w:r>
      <w:r>
        <w:rPr>
          <w:rFonts w:cstheme="minorHAnsi"/>
          <w:b/>
          <w:sz w:val="24"/>
          <w:szCs w:val="24"/>
          <w:lang w:val="es-ES"/>
        </w:rPr>
        <w:t xml:space="preserve">10 / </w:t>
      </w:r>
      <w:r w:rsidRPr="00177194">
        <w:rPr>
          <w:rFonts w:cstheme="minorHAnsi"/>
          <w:b/>
          <w:sz w:val="24"/>
          <w:szCs w:val="24"/>
          <w:lang w:val="es-ES"/>
        </w:rPr>
        <w:t xml:space="preserve"> </w:t>
      </w:r>
      <w:r>
        <w:rPr>
          <w:rFonts w:cstheme="minorHAnsi"/>
          <w:b/>
          <w:sz w:val="24"/>
          <w:szCs w:val="24"/>
          <w:lang w:val="es-ES"/>
        </w:rPr>
        <w:t>09/ 2018</w:t>
      </w:r>
    </w:p>
    <w:p w:rsidR="00177194" w:rsidRPr="00177194" w:rsidRDefault="00177194" w:rsidP="001771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es-ES"/>
        </w:rPr>
      </w:pPr>
    </w:p>
    <w:p w:rsidR="00177194" w:rsidRDefault="00177194" w:rsidP="00177194">
      <w:pPr>
        <w:jc w:val="both"/>
        <w:rPr>
          <w:rFonts w:eastAsia="Times New Roman" w:cstheme="minorHAnsi"/>
          <w:sz w:val="24"/>
          <w:szCs w:val="24"/>
          <w:lang w:eastAsia="es-VE"/>
        </w:rPr>
      </w:pPr>
      <w:r w:rsidRPr="00CA7108">
        <w:rPr>
          <w:rFonts w:eastAsia="Times New Roman" w:cstheme="minorHAnsi"/>
          <w:b/>
          <w:sz w:val="24"/>
          <w:szCs w:val="24"/>
          <w:lang w:eastAsia="es-VE"/>
        </w:rPr>
        <w:t>Grupo 6:</w:t>
      </w:r>
      <w:r w:rsidRPr="00CA7108">
        <w:rPr>
          <w:rFonts w:eastAsia="Times New Roman" w:cstheme="minorHAnsi"/>
          <w:sz w:val="24"/>
          <w:szCs w:val="24"/>
          <w:lang w:eastAsia="es-VE"/>
        </w:rPr>
        <w:t xml:space="preserve"> </w:t>
      </w:r>
    </w:p>
    <w:p w:rsidR="00177194" w:rsidRPr="00177194" w:rsidRDefault="00177194" w:rsidP="00177194">
      <w:pPr>
        <w:pStyle w:val="Prrafodelista"/>
        <w:numPr>
          <w:ilvl w:val="0"/>
          <w:numId w:val="1"/>
        </w:numPr>
        <w:jc w:val="both"/>
        <w:rPr>
          <w:rFonts w:eastAsia="Times New Roman" w:cstheme="minorHAnsi"/>
          <w:bCs/>
          <w:sz w:val="24"/>
          <w:szCs w:val="24"/>
          <w:lang w:val="es-ES" w:eastAsia="es-VE"/>
        </w:rPr>
      </w:pPr>
      <w:r w:rsidRPr="00177194">
        <w:rPr>
          <w:rFonts w:eastAsia="Times New Roman" w:cstheme="minorHAnsi"/>
          <w:bCs/>
          <w:sz w:val="24"/>
          <w:szCs w:val="24"/>
          <w:lang w:val="es-ES" w:eastAsia="es-VE"/>
        </w:rPr>
        <w:t xml:space="preserve">María </w:t>
      </w:r>
      <w:proofErr w:type="spellStart"/>
      <w:r w:rsidRPr="00177194">
        <w:rPr>
          <w:rFonts w:eastAsia="Times New Roman" w:cstheme="minorHAnsi"/>
          <w:bCs/>
          <w:sz w:val="24"/>
          <w:szCs w:val="24"/>
          <w:lang w:val="es-ES" w:eastAsia="es-VE"/>
        </w:rPr>
        <w:t>Caon</w:t>
      </w:r>
      <w:proofErr w:type="spellEnd"/>
      <w:r w:rsidRPr="00177194">
        <w:rPr>
          <w:rFonts w:eastAsia="Times New Roman" w:cstheme="minorHAnsi"/>
          <w:bCs/>
          <w:sz w:val="24"/>
          <w:szCs w:val="24"/>
          <w:lang w:val="es-ES" w:eastAsia="es-VE"/>
        </w:rPr>
        <w:t xml:space="preserve"> (expositora)</w:t>
      </w:r>
    </w:p>
    <w:p w:rsidR="00177194" w:rsidRPr="00177194" w:rsidRDefault="00177194" w:rsidP="00177194">
      <w:pPr>
        <w:pStyle w:val="Prrafodelista"/>
        <w:numPr>
          <w:ilvl w:val="0"/>
          <w:numId w:val="1"/>
        </w:numPr>
        <w:jc w:val="both"/>
        <w:rPr>
          <w:rFonts w:eastAsia="Times New Roman" w:cstheme="minorHAnsi"/>
          <w:bCs/>
          <w:sz w:val="24"/>
          <w:szCs w:val="24"/>
          <w:lang w:eastAsia="es-VE"/>
        </w:rPr>
      </w:pPr>
      <w:r w:rsidRPr="00177194">
        <w:rPr>
          <w:rFonts w:eastAsia="Times New Roman" w:cstheme="minorHAnsi"/>
          <w:bCs/>
          <w:sz w:val="24"/>
          <w:szCs w:val="24"/>
          <w:lang w:eastAsia="es-VE"/>
        </w:rPr>
        <w:t>Nidia Sánchez</w:t>
      </w:r>
      <w:r w:rsidR="009556B0">
        <w:rPr>
          <w:rFonts w:eastAsia="Times New Roman" w:cstheme="minorHAnsi"/>
          <w:bCs/>
          <w:sz w:val="24"/>
          <w:szCs w:val="24"/>
          <w:lang w:eastAsia="es-VE"/>
        </w:rPr>
        <w:t xml:space="preserve"> (relator)</w:t>
      </w:r>
    </w:p>
    <w:p w:rsidR="00177194" w:rsidRPr="00177194" w:rsidRDefault="00177194" w:rsidP="00177194">
      <w:pPr>
        <w:pStyle w:val="Prrafodelista"/>
        <w:numPr>
          <w:ilvl w:val="0"/>
          <w:numId w:val="1"/>
        </w:numPr>
        <w:jc w:val="both"/>
        <w:rPr>
          <w:rFonts w:eastAsia="Times New Roman" w:cstheme="minorHAnsi"/>
          <w:bCs/>
          <w:sz w:val="24"/>
          <w:szCs w:val="24"/>
          <w:lang w:eastAsia="es-VE"/>
        </w:rPr>
      </w:pPr>
      <w:r w:rsidRPr="00177194">
        <w:rPr>
          <w:rFonts w:eastAsia="Times New Roman" w:cstheme="minorHAnsi"/>
          <w:bCs/>
          <w:sz w:val="24"/>
          <w:szCs w:val="24"/>
          <w:lang w:eastAsia="es-VE"/>
        </w:rPr>
        <w:t>Irvin Terán</w:t>
      </w:r>
    </w:p>
    <w:p w:rsidR="00177194" w:rsidRPr="00177194" w:rsidRDefault="00177194" w:rsidP="00177194">
      <w:pPr>
        <w:pStyle w:val="Prrafodelista"/>
        <w:numPr>
          <w:ilvl w:val="0"/>
          <w:numId w:val="1"/>
        </w:numPr>
        <w:jc w:val="both"/>
      </w:pPr>
      <w:r w:rsidRPr="00177194">
        <w:rPr>
          <w:rFonts w:eastAsia="Times New Roman" w:cstheme="minorHAnsi"/>
          <w:bCs/>
          <w:sz w:val="24"/>
          <w:szCs w:val="24"/>
          <w:lang w:eastAsia="es-VE"/>
        </w:rPr>
        <w:t>Joel Juárez</w:t>
      </w:r>
    </w:p>
    <w:p w:rsidR="00177194" w:rsidRDefault="00177194" w:rsidP="001771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es-ES"/>
        </w:rPr>
      </w:pPr>
      <w:r w:rsidRPr="00177194">
        <w:rPr>
          <w:rFonts w:cstheme="minorHAnsi"/>
          <w:b/>
          <w:sz w:val="24"/>
          <w:szCs w:val="24"/>
          <w:lang w:val="es-ES"/>
        </w:rPr>
        <w:t xml:space="preserve">Impacto pronóstico y resultados de la anticoagulación oral profiláctica en pacientes con IMCEST anterior y disfunción ventricular izquierda. </w:t>
      </w:r>
    </w:p>
    <w:p w:rsidR="00177194" w:rsidRDefault="00177194" w:rsidP="001771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es-ES"/>
        </w:rPr>
      </w:pPr>
    </w:p>
    <w:p w:rsidR="00177194" w:rsidRDefault="00177194" w:rsidP="001771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Tabla 1. Características basales: </w:t>
      </w:r>
      <w:r w:rsidRPr="00177194">
        <w:rPr>
          <w:rFonts w:cstheme="minorHAnsi"/>
          <w:sz w:val="24"/>
          <w:szCs w:val="24"/>
          <w:lang w:val="es-ES"/>
        </w:rPr>
        <w:t>en vista de ser este un estudio tipo registro de casos no es importante o imprescindible que la población o</w:t>
      </w:r>
      <w:r w:rsidR="00584FC1">
        <w:rPr>
          <w:rFonts w:cstheme="minorHAnsi"/>
          <w:sz w:val="24"/>
          <w:szCs w:val="24"/>
          <w:lang w:val="es-ES"/>
        </w:rPr>
        <w:t xml:space="preserve">bjeto de estudio sea comparable </w:t>
      </w:r>
      <w:r w:rsidRPr="00177194">
        <w:rPr>
          <w:rFonts w:cstheme="minorHAnsi"/>
          <w:sz w:val="24"/>
          <w:szCs w:val="24"/>
          <w:lang w:val="es-ES"/>
        </w:rPr>
        <w:t>o la asignación de los pacientes al grupo de tratamiento sea realizada de fo</w:t>
      </w:r>
      <w:r>
        <w:rPr>
          <w:rFonts w:cstheme="minorHAnsi"/>
          <w:sz w:val="24"/>
          <w:szCs w:val="24"/>
          <w:lang w:val="es-ES"/>
        </w:rPr>
        <w:t>r</w:t>
      </w:r>
      <w:r w:rsidRPr="00177194">
        <w:rPr>
          <w:rFonts w:cstheme="minorHAnsi"/>
          <w:sz w:val="24"/>
          <w:szCs w:val="24"/>
          <w:lang w:val="es-ES"/>
        </w:rPr>
        <w:t>ma ale</w:t>
      </w:r>
      <w:r>
        <w:rPr>
          <w:rFonts w:cstheme="minorHAnsi"/>
          <w:sz w:val="24"/>
          <w:szCs w:val="24"/>
          <w:lang w:val="es-ES"/>
        </w:rPr>
        <w:t>atoria, ya que no forma parte de la metodología de un registro de casos.</w:t>
      </w:r>
    </w:p>
    <w:p w:rsidR="00177194" w:rsidRPr="00584FC1" w:rsidRDefault="00177194" w:rsidP="001771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es-ES"/>
        </w:rPr>
      </w:pPr>
    </w:p>
    <w:p w:rsidR="00C60C39" w:rsidRPr="00177194" w:rsidRDefault="00177194" w:rsidP="00177194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es-ES"/>
        </w:rPr>
      </w:pPr>
      <w:r w:rsidRPr="00584FC1">
        <w:rPr>
          <w:rFonts w:cstheme="minorHAnsi"/>
          <w:b/>
          <w:sz w:val="24"/>
          <w:szCs w:val="24"/>
          <w:lang w:val="es-ES"/>
        </w:rPr>
        <w:t>Respuesta a la pregunta de investigación:</w:t>
      </w:r>
      <w:r>
        <w:rPr>
          <w:rFonts w:cstheme="minorHAnsi"/>
          <w:sz w:val="24"/>
          <w:szCs w:val="24"/>
          <w:lang w:val="es-ES"/>
        </w:rPr>
        <w:t xml:space="preserve"> con el presente estudio damos respuesta a </w:t>
      </w:r>
      <w:r w:rsidR="00BE1A26">
        <w:rPr>
          <w:rFonts w:cstheme="minorHAnsi"/>
          <w:sz w:val="24"/>
          <w:szCs w:val="24"/>
          <w:lang w:val="es-ES"/>
        </w:rPr>
        <w:t xml:space="preserve">una parte de </w:t>
      </w:r>
      <w:r>
        <w:rPr>
          <w:rFonts w:cstheme="minorHAnsi"/>
          <w:sz w:val="24"/>
          <w:szCs w:val="24"/>
          <w:lang w:val="es-ES"/>
        </w:rPr>
        <w:t>la pregunta de investigación</w:t>
      </w:r>
      <w:r w:rsidR="00BE1A26">
        <w:rPr>
          <w:rFonts w:cstheme="minorHAnsi"/>
          <w:sz w:val="24"/>
          <w:szCs w:val="24"/>
          <w:lang w:val="es-ES"/>
        </w:rPr>
        <w:t>,</w:t>
      </w:r>
      <w:r>
        <w:rPr>
          <w:rFonts w:cstheme="minorHAnsi"/>
          <w:sz w:val="24"/>
          <w:szCs w:val="24"/>
          <w:lang w:val="es-ES"/>
        </w:rPr>
        <w:t xml:space="preserve"> al evidenciar en los resultados </w:t>
      </w:r>
      <w:r w:rsidR="00584FC1">
        <w:rPr>
          <w:rFonts w:cstheme="minorHAnsi"/>
          <w:sz w:val="24"/>
          <w:szCs w:val="24"/>
          <w:lang w:val="es-ES"/>
        </w:rPr>
        <w:t xml:space="preserve">que si </w:t>
      </w:r>
      <w:r w:rsidR="00C4429F" w:rsidRPr="00177194">
        <w:rPr>
          <w:rFonts w:cstheme="minorHAnsi"/>
          <w:sz w:val="24"/>
          <w:szCs w:val="24"/>
        </w:rPr>
        <w:t xml:space="preserve">existe una reducción de mortalidad al año del alta hospitalaria, en los pacientes de alto riesgo de formación de trombos posterior a un IMCEST  (FEVI &lt; 40 %, IMCEST anterior o BRIHH)  tratados con </w:t>
      </w:r>
      <w:proofErr w:type="spellStart"/>
      <w:r w:rsidR="00C4429F" w:rsidRPr="00177194">
        <w:rPr>
          <w:rFonts w:cstheme="minorHAnsi"/>
          <w:sz w:val="24"/>
          <w:szCs w:val="24"/>
        </w:rPr>
        <w:t>Wa</w:t>
      </w:r>
      <w:r>
        <w:rPr>
          <w:rFonts w:cstheme="minorHAnsi"/>
          <w:sz w:val="24"/>
          <w:szCs w:val="24"/>
        </w:rPr>
        <w:t>rfarina</w:t>
      </w:r>
      <w:proofErr w:type="spellEnd"/>
      <w:r>
        <w:rPr>
          <w:rFonts w:cstheme="minorHAnsi"/>
          <w:sz w:val="24"/>
          <w:szCs w:val="24"/>
        </w:rPr>
        <w:t xml:space="preserve"> profiláctica. </w:t>
      </w:r>
    </w:p>
    <w:p w:rsidR="00177194" w:rsidRDefault="00403093" w:rsidP="001771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Estos resultados no son válidos ni aplicables en nuestro medio, debido a que en el presente estudio los pacientes fueron sometidos a revascularización coronaria, bien sea mediante ICP o trombolisis de forma temprana</w:t>
      </w:r>
      <w:r w:rsidR="00BE1A26">
        <w:rPr>
          <w:rFonts w:cstheme="minorHAnsi"/>
          <w:sz w:val="24"/>
          <w:szCs w:val="24"/>
          <w:lang w:val="es-ES"/>
        </w:rPr>
        <w:t xml:space="preserve"> por medio de la </w:t>
      </w:r>
      <w:r w:rsidR="00BE1A26">
        <w:rPr>
          <w:rFonts w:cstheme="minorHAnsi"/>
          <w:sz w:val="24"/>
          <w:szCs w:val="24"/>
        </w:rPr>
        <w:t>Red de Salud Regional de R</w:t>
      </w:r>
      <w:r w:rsidR="00BE1A26" w:rsidRPr="00BE1A26">
        <w:rPr>
          <w:rFonts w:cstheme="minorHAnsi"/>
          <w:sz w:val="24"/>
          <w:szCs w:val="24"/>
        </w:rPr>
        <w:t>eperfusión</w:t>
      </w:r>
      <w:r w:rsidR="00BE1A26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  <w:lang w:val="es-ES"/>
        </w:rPr>
        <w:t xml:space="preserve">acorde a las recomendaciones de </w:t>
      </w:r>
      <w:r w:rsidR="00BE1A26">
        <w:rPr>
          <w:rFonts w:cstheme="minorHAnsi"/>
          <w:sz w:val="24"/>
          <w:szCs w:val="24"/>
          <w:lang w:val="es-ES"/>
        </w:rPr>
        <w:t>las guías actuales</w:t>
      </w:r>
      <w:r>
        <w:rPr>
          <w:rFonts w:cstheme="minorHAnsi"/>
          <w:sz w:val="24"/>
          <w:szCs w:val="24"/>
          <w:lang w:val="es-ES"/>
        </w:rPr>
        <w:t xml:space="preserve"> </w:t>
      </w:r>
      <w:r w:rsidR="00BE1A26">
        <w:rPr>
          <w:rFonts w:cstheme="minorHAnsi"/>
          <w:sz w:val="24"/>
          <w:szCs w:val="24"/>
          <w:lang w:val="es-ES"/>
        </w:rPr>
        <w:t>sobre el manejo de pacientes</w:t>
      </w:r>
      <w:r>
        <w:rPr>
          <w:rFonts w:cstheme="minorHAnsi"/>
          <w:sz w:val="24"/>
          <w:szCs w:val="24"/>
          <w:lang w:val="es-ES"/>
        </w:rPr>
        <w:t xml:space="preserve"> con </w:t>
      </w:r>
      <w:r w:rsidR="00BE1A26">
        <w:rPr>
          <w:rFonts w:cstheme="minorHAnsi"/>
          <w:sz w:val="24"/>
          <w:szCs w:val="24"/>
          <w:lang w:val="es-ES"/>
        </w:rPr>
        <w:t>IMCEST, situació</w:t>
      </w:r>
      <w:r>
        <w:rPr>
          <w:rFonts w:cstheme="minorHAnsi"/>
          <w:sz w:val="24"/>
          <w:szCs w:val="24"/>
          <w:lang w:val="es-ES"/>
        </w:rPr>
        <w:t xml:space="preserve">n que no ocurre en nuestro país.  </w:t>
      </w:r>
    </w:p>
    <w:p w:rsidR="00BE1A26" w:rsidRDefault="00BE1A26" w:rsidP="001771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</w:p>
    <w:p w:rsidR="00BE1A26" w:rsidRPr="00177194" w:rsidRDefault="00BE1A26" w:rsidP="001771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Los registros de casos nos ayudan a formular hipótesis, más que a dar conclusiones definitivas en relación a un punto determinado, sin embargo, no por ello le debemos restar la importancia metodológica que estos merecen. </w:t>
      </w:r>
    </w:p>
    <w:sectPr w:rsidR="00BE1A26" w:rsidRPr="001771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491"/>
    <w:multiLevelType w:val="hybridMultilevel"/>
    <w:tmpl w:val="10E2FBD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06870"/>
    <w:multiLevelType w:val="hybridMultilevel"/>
    <w:tmpl w:val="C7EA101A"/>
    <w:lvl w:ilvl="0" w:tplc="FF063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548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54A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5E5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DE3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CCE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FA5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5E7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FCF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94"/>
    <w:rsid w:val="00177194"/>
    <w:rsid w:val="001D2865"/>
    <w:rsid w:val="00400852"/>
    <w:rsid w:val="00403093"/>
    <w:rsid w:val="00584FC1"/>
    <w:rsid w:val="009556B0"/>
    <w:rsid w:val="00BE1A26"/>
    <w:rsid w:val="00BE56E0"/>
    <w:rsid w:val="00C4429F"/>
    <w:rsid w:val="00C60C39"/>
    <w:rsid w:val="00E8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194"/>
    <w:pPr>
      <w:spacing w:after="160" w:line="259" w:lineRule="auto"/>
    </w:pPr>
    <w:rPr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7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194"/>
    <w:pPr>
      <w:spacing w:after="160" w:line="259" w:lineRule="auto"/>
    </w:pPr>
    <w:rPr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7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2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</dc:creator>
  <cp:lastModifiedBy>Karen Magdelaine Aguero Aguero</cp:lastModifiedBy>
  <cp:revision>2</cp:revision>
  <dcterms:created xsi:type="dcterms:W3CDTF">2018-09-26T15:10:00Z</dcterms:created>
  <dcterms:modified xsi:type="dcterms:W3CDTF">2018-09-26T15:10:00Z</dcterms:modified>
</cp:coreProperties>
</file>