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12" w:rsidRPr="00221A09" w:rsidRDefault="00B85812" w:rsidP="00B85812">
      <w:pPr>
        <w:spacing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b/>
          <w:bCs/>
          <w:lang w:val="es-ES"/>
        </w:rPr>
        <w:t>Relatoría Grupo 4 Evidencia Científica 06/03/2023</w:t>
      </w:r>
      <w:r w:rsidRPr="00221A09">
        <w:rPr>
          <w:rFonts w:ascii="Arial" w:hAnsi="Arial" w:cs="Arial"/>
          <w:b/>
          <w:bCs/>
          <w:lang w:val="es-ES"/>
        </w:rPr>
        <w:t xml:space="preserve">: </w:t>
      </w:r>
      <w:r>
        <w:rPr>
          <w:rFonts w:ascii="Arial" w:hAnsi="Arial" w:cs="Arial"/>
          <w:lang w:val="es-VE"/>
        </w:rPr>
        <w:t xml:space="preserve">Dr. Miguel Ascencio (R3), Dra. Nathaly Briceño (R2) Relatora, Dr. </w:t>
      </w:r>
      <w:proofErr w:type="spellStart"/>
      <w:r>
        <w:rPr>
          <w:rFonts w:ascii="Arial" w:hAnsi="Arial" w:cs="Arial"/>
          <w:lang w:val="es-VE"/>
        </w:rPr>
        <w:t>Jepherson</w:t>
      </w:r>
      <w:proofErr w:type="spellEnd"/>
      <w:r>
        <w:rPr>
          <w:rFonts w:ascii="Arial" w:hAnsi="Arial" w:cs="Arial"/>
          <w:lang w:val="es-VE"/>
        </w:rPr>
        <w:t xml:space="preserve"> </w:t>
      </w:r>
      <w:proofErr w:type="spellStart"/>
      <w:r>
        <w:rPr>
          <w:rFonts w:ascii="Arial" w:hAnsi="Arial" w:cs="Arial"/>
          <w:lang w:val="es-VE"/>
        </w:rPr>
        <w:t>Angel</w:t>
      </w:r>
      <w:proofErr w:type="spellEnd"/>
      <w:r>
        <w:rPr>
          <w:rFonts w:ascii="Arial" w:hAnsi="Arial" w:cs="Arial"/>
          <w:lang w:val="es-VE"/>
        </w:rPr>
        <w:t xml:space="preserve"> / Dr. Jesús Aparicio (R1)</w:t>
      </w:r>
    </w:p>
    <w:p w:rsidR="00B85812" w:rsidRPr="00221A09" w:rsidRDefault="003E0126" w:rsidP="00B85812">
      <w:pPr>
        <w:spacing w:line="276" w:lineRule="auto"/>
        <w:jc w:val="both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1er Ciclo – Articulo # 5</w:t>
      </w:r>
    </w:p>
    <w:p w:rsidR="00B85812" w:rsidRPr="003E0126" w:rsidRDefault="00B85812" w:rsidP="00B85812">
      <w:pPr>
        <w:spacing w:line="276" w:lineRule="auto"/>
        <w:jc w:val="both"/>
        <w:rPr>
          <w:rFonts w:ascii="Arial" w:hAnsi="Arial" w:cs="Arial"/>
          <w:b/>
          <w:bCs/>
          <w:lang w:val="es-VE"/>
        </w:rPr>
      </w:pPr>
      <w:r w:rsidRPr="00221A09">
        <w:rPr>
          <w:rFonts w:ascii="Arial" w:hAnsi="Arial" w:cs="Arial"/>
          <w:b/>
          <w:bCs/>
          <w:lang w:val="es-VE"/>
        </w:rPr>
        <w:t xml:space="preserve">Estudio: </w:t>
      </w:r>
      <w:r w:rsidR="003E0126" w:rsidRPr="003E0126">
        <w:rPr>
          <w:rFonts w:ascii="Arial" w:hAnsi="Arial" w:cs="Arial"/>
          <w:bCs/>
          <w:lang w:val="es-VE"/>
        </w:rPr>
        <w:t>Dosificación de Enoxaparina en Pacientes con Obesidad Mórbida: Una Cohorte Retrospectiva</w:t>
      </w:r>
    </w:p>
    <w:p w:rsidR="00B85812" w:rsidRPr="00221A09" w:rsidRDefault="00B85812" w:rsidP="00B85812">
      <w:pPr>
        <w:spacing w:line="276" w:lineRule="auto"/>
        <w:jc w:val="both"/>
        <w:rPr>
          <w:rFonts w:ascii="Arial" w:hAnsi="Arial" w:cs="Arial"/>
          <w:b/>
          <w:bCs/>
          <w:lang w:val="es-VE"/>
        </w:rPr>
      </w:pPr>
      <w:r w:rsidRPr="00221A09">
        <w:rPr>
          <w:rFonts w:ascii="Arial" w:hAnsi="Arial" w:cs="Arial"/>
          <w:b/>
          <w:bCs/>
          <w:lang w:val="es-VE"/>
        </w:rPr>
        <w:t>Observaciones metodológicas del artículo</w:t>
      </w:r>
      <w:r w:rsidR="005A6E29" w:rsidRPr="00221A09">
        <w:rPr>
          <w:rFonts w:ascii="Arial" w:hAnsi="Arial" w:cs="Arial"/>
          <w:b/>
          <w:bCs/>
          <w:lang w:val="es-VE"/>
        </w:rPr>
        <w:t>:</w:t>
      </w:r>
      <w:r w:rsidR="005A6E29">
        <w:rPr>
          <w:rFonts w:ascii="Arial" w:hAnsi="Arial" w:cs="Arial"/>
          <w:b/>
          <w:bCs/>
          <w:lang w:val="es-VE"/>
        </w:rPr>
        <w:t xml:space="preserve"> </w:t>
      </w:r>
      <w:r w:rsidR="005A6E29" w:rsidRPr="00221A09">
        <w:rPr>
          <w:rFonts w:ascii="Arial" w:hAnsi="Arial" w:cs="Arial"/>
          <w:b/>
          <w:bCs/>
          <w:lang w:val="es-VE"/>
        </w:rPr>
        <w:t>Carencia</w:t>
      </w:r>
      <w:r w:rsidR="005A6E29">
        <w:rPr>
          <w:rFonts w:ascii="Arial" w:hAnsi="Arial" w:cs="Arial"/>
          <w:b/>
          <w:bCs/>
          <w:lang w:val="es-VE"/>
        </w:rPr>
        <w:t xml:space="preserve"> metodológica </w:t>
      </w:r>
    </w:p>
    <w:p w:rsidR="00B85812" w:rsidRPr="00221A09" w:rsidRDefault="00B85812" w:rsidP="00B85812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lang w:val="es-VE"/>
        </w:rPr>
      </w:pPr>
      <w:r w:rsidRPr="00221A09">
        <w:rPr>
          <w:rFonts w:ascii="Arial" w:hAnsi="Arial" w:cs="Arial"/>
          <w:b/>
          <w:bCs/>
          <w:color w:val="000000" w:themeColor="text1"/>
          <w:lang w:val="es-VE"/>
        </w:rPr>
        <w:t xml:space="preserve">Observaciones clínicas del artículo: </w:t>
      </w:r>
    </w:p>
    <w:p w:rsidR="00B85812" w:rsidRPr="00221A09" w:rsidRDefault="00B85812" w:rsidP="00B85812">
      <w:pPr>
        <w:pStyle w:val="Prrafodelista"/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B85812" w:rsidRPr="00221A09" w:rsidRDefault="00B85812" w:rsidP="00B85812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lang w:val="es-VE"/>
        </w:rPr>
      </w:pPr>
      <w:r w:rsidRPr="00221A09">
        <w:rPr>
          <w:rFonts w:ascii="Arial" w:hAnsi="Arial" w:cs="Arial"/>
          <w:b/>
          <w:bCs/>
          <w:color w:val="000000" w:themeColor="text1"/>
          <w:lang w:val="es-VE"/>
        </w:rPr>
        <w:t>Observaciones sobre los resultados del artículo:</w:t>
      </w:r>
      <w:r w:rsidR="005A6E29">
        <w:rPr>
          <w:rFonts w:ascii="Arial" w:hAnsi="Arial" w:cs="Arial"/>
          <w:b/>
          <w:bCs/>
          <w:color w:val="000000" w:themeColor="text1"/>
          <w:lang w:val="es-VE"/>
        </w:rPr>
        <w:t xml:space="preserve"> Clínicamente hay que individualizar a los pacientes, y estudiar la presencia de comorbilidades asociadas </w:t>
      </w:r>
    </w:p>
    <w:p w:rsidR="00B85812" w:rsidRPr="007F6DE8" w:rsidRDefault="00B85812" w:rsidP="003E0126">
      <w:pPr>
        <w:jc w:val="both"/>
        <w:rPr>
          <w:rFonts w:ascii="Arial" w:hAnsi="Arial" w:cs="Arial"/>
          <w:lang w:val="es-VE"/>
        </w:rPr>
      </w:pPr>
    </w:p>
    <w:p w:rsidR="00B85812" w:rsidRDefault="003E0126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b/>
          <w:bCs/>
          <w:color w:val="000000" w:themeColor="text1"/>
          <w:lang w:val="es-VE"/>
        </w:rPr>
        <w:t>I</w:t>
      </w:r>
      <w:r w:rsidR="00B85812" w:rsidRPr="00221A09">
        <w:rPr>
          <w:rFonts w:ascii="Arial" w:hAnsi="Arial" w:cs="Arial"/>
          <w:b/>
          <w:bCs/>
          <w:color w:val="000000" w:themeColor="text1"/>
          <w:lang w:val="es-VE"/>
        </w:rPr>
        <w:t>nterrogante del ciclo</w:t>
      </w:r>
      <w:r w:rsidR="00B85812" w:rsidRPr="00221A09">
        <w:rPr>
          <w:rFonts w:ascii="Arial" w:hAnsi="Arial" w:cs="Arial"/>
          <w:b/>
          <w:bCs/>
          <w:lang w:val="es-VE"/>
        </w:rPr>
        <w:t xml:space="preserve">: </w:t>
      </w:r>
      <w:proofErr w:type="gramStart"/>
      <w:r w:rsidR="00B85812">
        <w:rPr>
          <w:rFonts w:ascii="Arial" w:hAnsi="Arial" w:cs="Arial"/>
          <w:lang w:val="es-VE"/>
        </w:rPr>
        <w:t>¿</w:t>
      </w:r>
      <w:proofErr w:type="gramEnd"/>
      <w:r w:rsidRPr="003E0126">
        <w:rPr>
          <w:rFonts w:ascii="Arial" w:hAnsi="Arial" w:cs="Arial"/>
          <w:lang w:val="es-VE"/>
        </w:rPr>
        <w:t>En pacientes obesos (IMC mayor 30 kg/m2) con enfermedad cardiovascular, el uso de heparina de bajo molecular (Enoxaparina Sódica) a dosis anticoagulante estándar vs dosis reducida, ¿incrementa el riesgo de eventos cardiovasculares?</w:t>
      </w:r>
    </w:p>
    <w:p w:rsidR="003E0126" w:rsidRDefault="003E0126" w:rsidP="003E0126">
      <w:pPr>
        <w:jc w:val="both"/>
        <w:rPr>
          <w:rFonts w:ascii="Arial" w:hAnsi="Arial" w:cs="Arial"/>
          <w:b/>
          <w:bCs/>
          <w:lang w:val="es-VE"/>
        </w:rPr>
      </w:pPr>
    </w:p>
    <w:p w:rsidR="003E0126" w:rsidRPr="00221A09" w:rsidRDefault="003E0126" w:rsidP="003E0126">
      <w:pPr>
        <w:jc w:val="both"/>
        <w:rPr>
          <w:rFonts w:ascii="Arial" w:hAnsi="Arial" w:cs="Arial"/>
          <w:b/>
          <w:bCs/>
          <w:lang w:val="es-VE"/>
        </w:rPr>
      </w:pPr>
      <w:r w:rsidRPr="00221A09">
        <w:rPr>
          <w:rFonts w:ascii="Arial" w:hAnsi="Arial" w:cs="Arial"/>
          <w:b/>
          <w:bCs/>
          <w:lang w:val="es-VE"/>
        </w:rPr>
        <w:t>Conclusiones</w:t>
      </w:r>
      <w:r>
        <w:rPr>
          <w:rFonts w:ascii="Arial" w:hAnsi="Arial" w:cs="Arial"/>
          <w:b/>
          <w:bCs/>
          <w:lang w:val="es-VE"/>
        </w:rPr>
        <w:t xml:space="preserve">: </w:t>
      </w:r>
      <w:r w:rsidRPr="003E0126">
        <w:rPr>
          <w:rFonts w:ascii="Arial" w:hAnsi="Arial" w:cs="Arial"/>
          <w:bCs/>
          <w:lang w:val="es-VE"/>
        </w:rPr>
        <w:t xml:space="preserve">Se concluye que el artículo expuesto no responde la pregunta del ciclo. </w:t>
      </w:r>
    </w:p>
    <w:p w:rsidR="00B85812" w:rsidRDefault="00B85812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B85812" w:rsidRDefault="00B85812" w:rsidP="00B85812">
      <w:pPr>
        <w:spacing w:after="0" w:line="276" w:lineRule="auto"/>
        <w:jc w:val="both"/>
        <w:rPr>
          <w:rFonts w:ascii="Arial" w:hAnsi="Arial" w:cs="Arial"/>
          <w:b/>
          <w:lang w:val="es-VE"/>
        </w:rPr>
      </w:pPr>
      <w:r w:rsidRPr="00B85812">
        <w:rPr>
          <w:rFonts w:ascii="Arial" w:hAnsi="Arial" w:cs="Arial"/>
          <w:b/>
          <w:lang w:val="es-VE"/>
        </w:rPr>
        <w:t>COMENTARIOS DE ESPECIALISTAS</w:t>
      </w:r>
      <w:r>
        <w:rPr>
          <w:rFonts w:ascii="Arial" w:hAnsi="Arial" w:cs="Arial"/>
          <w:b/>
          <w:lang w:val="es-VE"/>
        </w:rPr>
        <w:t xml:space="preserve">: </w:t>
      </w:r>
    </w:p>
    <w:p w:rsidR="008B5904" w:rsidRDefault="008B5904" w:rsidP="00B85812">
      <w:pPr>
        <w:spacing w:after="0" w:line="276" w:lineRule="auto"/>
        <w:jc w:val="both"/>
        <w:rPr>
          <w:rFonts w:ascii="Arial" w:hAnsi="Arial" w:cs="Arial"/>
          <w:b/>
          <w:lang w:val="es-VE"/>
        </w:rPr>
      </w:pPr>
    </w:p>
    <w:p w:rsidR="007221DE" w:rsidRDefault="007221DE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t>Dra</w:t>
      </w:r>
      <w:r w:rsidR="007C4626">
        <w:rPr>
          <w:rFonts w:ascii="Arial" w:hAnsi="Arial" w:cs="Arial"/>
          <w:b/>
          <w:lang w:val="es-VE"/>
        </w:rPr>
        <w:t>.</w:t>
      </w:r>
      <w:r>
        <w:rPr>
          <w:rFonts w:ascii="Arial" w:hAnsi="Arial" w:cs="Arial"/>
          <w:b/>
          <w:lang w:val="es-VE"/>
        </w:rPr>
        <w:t xml:space="preserve"> I</w:t>
      </w:r>
      <w:r w:rsidR="00950B08">
        <w:rPr>
          <w:rFonts w:ascii="Arial" w:hAnsi="Arial" w:cs="Arial"/>
          <w:b/>
          <w:lang w:val="es-VE"/>
        </w:rPr>
        <w:t>nfante</w:t>
      </w:r>
      <w:r w:rsidR="00950B08" w:rsidRPr="003E0126">
        <w:rPr>
          <w:rFonts w:ascii="Arial" w:hAnsi="Arial" w:cs="Arial"/>
          <w:lang w:val="es-VE"/>
        </w:rPr>
        <w:t xml:space="preserve">: </w:t>
      </w:r>
      <w:r w:rsidR="003E0126" w:rsidRPr="003E0126">
        <w:rPr>
          <w:rFonts w:ascii="Arial" w:hAnsi="Arial" w:cs="Arial"/>
          <w:lang w:val="es-VE"/>
        </w:rPr>
        <w:t xml:space="preserve">Comenta que a pesar de que el articulo </w:t>
      </w:r>
      <w:r w:rsidR="00D241F6">
        <w:rPr>
          <w:rFonts w:ascii="Arial" w:hAnsi="Arial" w:cs="Arial"/>
          <w:lang w:val="es-VE"/>
        </w:rPr>
        <w:t xml:space="preserve">carece de mucha metodología, y que </w:t>
      </w:r>
      <w:r w:rsidR="007C4626">
        <w:rPr>
          <w:rFonts w:ascii="Arial" w:hAnsi="Arial" w:cs="Arial"/>
          <w:lang w:val="es-VE"/>
        </w:rPr>
        <w:t>presente incongruencias</w:t>
      </w:r>
      <w:r w:rsidR="003E0126" w:rsidRPr="003E0126">
        <w:rPr>
          <w:rFonts w:ascii="Arial" w:hAnsi="Arial" w:cs="Arial"/>
          <w:lang w:val="es-VE"/>
        </w:rPr>
        <w:t xml:space="preserve"> metodológicos</w:t>
      </w:r>
      <w:r w:rsidR="007C4626">
        <w:rPr>
          <w:rFonts w:ascii="Arial" w:hAnsi="Arial" w:cs="Arial"/>
          <w:lang w:val="es-VE"/>
        </w:rPr>
        <w:t>,</w:t>
      </w:r>
      <w:r w:rsidR="003E0126">
        <w:rPr>
          <w:rFonts w:ascii="Arial" w:hAnsi="Arial" w:cs="Arial"/>
          <w:lang w:val="es-VE"/>
        </w:rPr>
        <w:t xml:space="preserve"> considera que si responde la pregunta del ciclo, ya que </w:t>
      </w:r>
      <w:r>
        <w:rPr>
          <w:rFonts w:ascii="Arial" w:hAnsi="Arial" w:cs="Arial"/>
          <w:lang w:val="es-VE"/>
        </w:rPr>
        <w:t>evalúa</w:t>
      </w:r>
      <w:r w:rsidR="003E0126">
        <w:rPr>
          <w:rFonts w:ascii="Arial" w:hAnsi="Arial" w:cs="Arial"/>
          <w:lang w:val="es-VE"/>
        </w:rPr>
        <w:t xml:space="preserve"> las variables involucradas </w:t>
      </w:r>
      <w:r w:rsidR="003E0126">
        <w:rPr>
          <w:rFonts w:ascii="Arial" w:hAnsi="Arial" w:cs="Arial"/>
          <w:b/>
          <w:lang w:val="es-VE"/>
        </w:rPr>
        <w:t xml:space="preserve"> </w:t>
      </w:r>
      <w:r w:rsidR="00D241F6">
        <w:rPr>
          <w:rFonts w:ascii="Arial" w:hAnsi="Arial" w:cs="Arial"/>
          <w:lang w:val="es-VE"/>
        </w:rPr>
        <w:t>en la interrogante</w:t>
      </w:r>
      <w:r w:rsidR="003E0126">
        <w:rPr>
          <w:rFonts w:ascii="Arial" w:hAnsi="Arial" w:cs="Arial"/>
          <w:lang w:val="es-VE"/>
        </w:rPr>
        <w:t xml:space="preserve"> del ciclo, sin embargo exhorta a los demás especialistas a </w:t>
      </w:r>
      <w:r>
        <w:rPr>
          <w:rFonts w:ascii="Arial" w:hAnsi="Arial" w:cs="Arial"/>
          <w:lang w:val="es-VE"/>
        </w:rPr>
        <w:t xml:space="preserve">exponer su opinión al respecto. </w:t>
      </w:r>
    </w:p>
    <w:p w:rsidR="007221DE" w:rsidRDefault="007221DE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950B08" w:rsidRDefault="007221DE" w:rsidP="009F7A5F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 xml:space="preserve">Por otro lado, en cuanto a los resultados expresados en la tabla </w:t>
      </w:r>
      <w:r w:rsidR="00D241F6">
        <w:rPr>
          <w:rFonts w:ascii="Arial" w:hAnsi="Arial" w:cs="Arial"/>
          <w:lang w:val="es-VE"/>
        </w:rPr>
        <w:t>número</w:t>
      </w:r>
      <w:r>
        <w:rPr>
          <w:rFonts w:ascii="Arial" w:hAnsi="Arial" w:cs="Arial"/>
          <w:lang w:val="es-VE"/>
        </w:rPr>
        <w:t xml:space="preserve"> 2 del </w:t>
      </w:r>
      <w:r w:rsidR="00D241F6">
        <w:rPr>
          <w:rFonts w:ascii="Arial" w:hAnsi="Arial" w:cs="Arial"/>
          <w:lang w:val="es-VE"/>
        </w:rPr>
        <w:t>artículo</w:t>
      </w:r>
      <w:r>
        <w:rPr>
          <w:rFonts w:ascii="Arial" w:hAnsi="Arial" w:cs="Arial"/>
          <w:lang w:val="es-VE"/>
        </w:rPr>
        <w:t xml:space="preserve">, hace alusión que </w:t>
      </w:r>
      <w:r w:rsidR="007C4626">
        <w:rPr>
          <w:rFonts w:ascii="Arial" w:hAnsi="Arial" w:cs="Arial"/>
          <w:lang w:val="es-VE"/>
        </w:rPr>
        <w:t xml:space="preserve">en </w:t>
      </w:r>
      <w:r w:rsidR="009F7A5F">
        <w:rPr>
          <w:rFonts w:ascii="Arial" w:hAnsi="Arial" w:cs="Arial"/>
          <w:lang w:val="es-VE"/>
        </w:rPr>
        <w:t xml:space="preserve">el </w:t>
      </w:r>
      <w:r w:rsidR="00AD13BC">
        <w:rPr>
          <w:rFonts w:ascii="Arial" w:hAnsi="Arial" w:cs="Arial"/>
          <w:lang w:val="es-VE"/>
        </w:rPr>
        <w:t>artículo</w:t>
      </w:r>
      <w:r w:rsidR="007C4626">
        <w:rPr>
          <w:rFonts w:ascii="Arial" w:hAnsi="Arial" w:cs="Arial"/>
          <w:lang w:val="es-VE"/>
        </w:rPr>
        <w:t xml:space="preserve"> </w:t>
      </w:r>
      <w:r>
        <w:rPr>
          <w:rFonts w:ascii="Arial" w:hAnsi="Arial" w:cs="Arial"/>
          <w:lang w:val="es-VE"/>
        </w:rPr>
        <w:t xml:space="preserve">no se especifica la dosis real de Enoxaparina, </w:t>
      </w:r>
      <w:r w:rsidR="009F7A5F">
        <w:rPr>
          <w:rFonts w:ascii="Arial" w:hAnsi="Arial" w:cs="Arial"/>
          <w:lang w:val="es-VE"/>
        </w:rPr>
        <w:t xml:space="preserve">ni </w:t>
      </w:r>
      <w:r w:rsidR="007C4626">
        <w:rPr>
          <w:rFonts w:ascii="Arial" w:hAnsi="Arial" w:cs="Arial"/>
          <w:lang w:val="es-VE"/>
        </w:rPr>
        <w:t xml:space="preserve">se precisa </w:t>
      </w:r>
      <w:r w:rsidR="009F7A5F">
        <w:rPr>
          <w:rFonts w:ascii="Arial" w:hAnsi="Arial" w:cs="Arial"/>
          <w:lang w:val="es-VE"/>
        </w:rPr>
        <w:t xml:space="preserve">cuál es la dosis estándar y </w:t>
      </w:r>
      <w:r w:rsidR="00AD13BC">
        <w:rPr>
          <w:rFonts w:ascii="Arial" w:hAnsi="Arial" w:cs="Arial"/>
          <w:lang w:val="es-VE"/>
        </w:rPr>
        <w:t>cuál</w:t>
      </w:r>
      <w:r w:rsidR="009F7A5F">
        <w:rPr>
          <w:rFonts w:ascii="Arial" w:hAnsi="Arial" w:cs="Arial"/>
          <w:lang w:val="es-VE"/>
        </w:rPr>
        <w:t xml:space="preserve"> es la dosis reducida</w:t>
      </w:r>
      <w:r w:rsidR="007C4626">
        <w:rPr>
          <w:rFonts w:ascii="Arial" w:hAnsi="Arial" w:cs="Arial"/>
          <w:lang w:val="es-VE"/>
        </w:rPr>
        <w:t>,</w:t>
      </w:r>
      <w:r w:rsidR="009F7A5F">
        <w:rPr>
          <w:rFonts w:ascii="Arial" w:hAnsi="Arial" w:cs="Arial"/>
          <w:lang w:val="es-VE"/>
        </w:rPr>
        <w:t xml:space="preserve"> </w:t>
      </w:r>
      <w:r w:rsidR="007C4626">
        <w:rPr>
          <w:rFonts w:ascii="Arial" w:hAnsi="Arial" w:cs="Arial"/>
          <w:lang w:val="es-VE"/>
        </w:rPr>
        <w:t xml:space="preserve">ya que </w:t>
      </w:r>
      <w:r>
        <w:rPr>
          <w:rFonts w:ascii="Arial" w:hAnsi="Arial" w:cs="Arial"/>
          <w:lang w:val="es-VE"/>
        </w:rPr>
        <w:t>solo se refleja en un porcentaje estab</w:t>
      </w:r>
      <w:r w:rsidR="007C4626">
        <w:rPr>
          <w:rFonts w:ascii="Arial" w:hAnsi="Arial" w:cs="Arial"/>
          <w:lang w:val="es-VE"/>
        </w:rPr>
        <w:t>lecido de mayor y menor al 90% de la dosis recomendada por la FDA.</w:t>
      </w:r>
    </w:p>
    <w:p w:rsidR="007221DE" w:rsidRPr="00950B08" w:rsidRDefault="007221DE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AD13BC" w:rsidRDefault="007221DE" w:rsidP="009F7A5F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 xml:space="preserve">Del mismo modo, </w:t>
      </w:r>
      <w:r w:rsidR="009F7A5F">
        <w:rPr>
          <w:rFonts w:ascii="Arial" w:hAnsi="Arial" w:cs="Arial"/>
          <w:lang w:val="es-VE"/>
        </w:rPr>
        <w:t xml:space="preserve">establece que no se </w:t>
      </w:r>
      <w:r w:rsidR="00AD13BC">
        <w:rPr>
          <w:rFonts w:ascii="Arial" w:hAnsi="Arial" w:cs="Arial"/>
          <w:lang w:val="es-VE"/>
        </w:rPr>
        <w:t>realizó</w:t>
      </w:r>
      <w:r w:rsidR="009F7A5F">
        <w:rPr>
          <w:rFonts w:ascii="Arial" w:hAnsi="Arial" w:cs="Arial"/>
          <w:lang w:val="es-VE"/>
        </w:rPr>
        <w:t xml:space="preserve"> una tabla donde se comparara o se incluyera el peso con la droga </w:t>
      </w:r>
      <w:r w:rsidR="00AD13BC">
        <w:rPr>
          <w:rFonts w:ascii="Arial" w:hAnsi="Arial" w:cs="Arial"/>
          <w:lang w:val="es-VE"/>
        </w:rPr>
        <w:t>y que llegar a una conclusión de que el evento</w:t>
      </w:r>
      <w:r w:rsidR="007F6DE8">
        <w:rPr>
          <w:rFonts w:ascii="Arial" w:hAnsi="Arial" w:cs="Arial"/>
          <w:lang w:val="es-VE"/>
        </w:rPr>
        <w:t xml:space="preserve"> (sangrado)</w:t>
      </w:r>
      <w:r w:rsidR="00AD13BC">
        <w:rPr>
          <w:rFonts w:ascii="Arial" w:hAnsi="Arial" w:cs="Arial"/>
          <w:lang w:val="es-VE"/>
        </w:rPr>
        <w:t xml:space="preserve"> esté relacionado con el peso o que este asociado c</w:t>
      </w:r>
      <w:r w:rsidR="007C4626">
        <w:rPr>
          <w:rFonts w:ascii="Arial" w:hAnsi="Arial" w:cs="Arial"/>
          <w:lang w:val="es-VE"/>
        </w:rPr>
        <w:t>on la droga no se puede definir. Con respecto a</w:t>
      </w:r>
      <w:r w:rsidR="00AD13BC">
        <w:rPr>
          <w:rFonts w:ascii="Arial" w:hAnsi="Arial" w:cs="Arial"/>
          <w:lang w:val="es-VE"/>
        </w:rPr>
        <w:t xml:space="preserve"> las ca</w:t>
      </w:r>
      <w:r w:rsidR="007C4626">
        <w:rPr>
          <w:rFonts w:ascii="Arial" w:hAnsi="Arial" w:cs="Arial"/>
          <w:lang w:val="es-VE"/>
        </w:rPr>
        <w:t>racterísticas basales, se describe el emparejamiento para el índice de propensión con</w:t>
      </w:r>
      <w:r w:rsidR="00AD13BC">
        <w:rPr>
          <w:rFonts w:ascii="Arial" w:hAnsi="Arial" w:cs="Arial"/>
          <w:lang w:val="es-VE"/>
        </w:rPr>
        <w:t xml:space="preserve"> una relación 4:1</w:t>
      </w:r>
      <w:r w:rsidR="007C4626">
        <w:rPr>
          <w:rFonts w:ascii="Arial" w:hAnsi="Arial" w:cs="Arial"/>
          <w:lang w:val="es-VE"/>
        </w:rPr>
        <w:t xml:space="preserve"> y</w:t>
      </w:r>
      <w:r w:rsidR="00AD13BC">
        <w:rPr>
          <w:rFonts w:ascii="Arial" w:hAnsi="Arial" w:cs="Arial"/>
          <w:lang w:val="es-VE"/>
        </w:rPr>
        <w:t xml:space="preserve"> tampoco definen a qu</w:t>
      </w:r>
      <w:r w:rsidR="007C4626">
        <w:rPr>
          <w:rFonts w:ascii="Arial" w:hAnsi="Arial" w:cs="Arial"/>
          <w:lang w:val="es-VE"/>
        </w:rPr>
        <w:t>e grupo corresponde cada categoría de dicha relación.</w:t>
      </w:r>
    </w:p>
    <w:p w:rsidR="007F6DE8" w:rsidRDefault="007F6DE8" w:rsidP="009F7A5F">
      <w:pPr>
        <w:spacing w:after="0" w:line="276" w:lineRule="auto"/>
        <w:ind w:firstLine="708"/>
        <w:jc w:val="both"/>
        <w:rPr>
          <w:rFonts w:ascii="Arial" w:hAnsi="Arial" w:cs="Arial"/>
          <w:b/>
          <w:lang w:val="es-VE"/>
        </w:rPr>
      </w:pPr>
    </w:p>
    <w:p w:rsidR="007F6DE8" w:rsidRDefault="007C4626" w:rsidP="007C4626">
      <w:pPr>
        <w:spacing w:after="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t>Dr. Miguel Ascencio</w:t>
      </w:r>
      <w:r w:rsidR="007F6DE8" w:rsidRPr="007F6DE8">
        <w:rPr>
          <w:rFonts w:ascii="Arial" w:hAnsi="Arial" w:cs="Arial"/>
          <w:b/>
          <w:lang w:val="es-VE"/>
        </w:rPr>
        <w:t>:</w:t>
      </w:r>
      <w:r w:rsidR="007F6DE8">
        <w:rPr>
          <w:rFonts w:ascii="Arial" w:hAnsi="Arial" w:cs="Arial"/>
          <w:lang w:val="es-VE"/>
        </w:rPr>
        <w:t xml:space="preserve"> Explica que en la prosa del articulo cuando hablan del emparejamiento 4:1, asumen que cuando explican los resultados y se demu</w:t>
      </w:r>
      <w:r>
        <w:rPr>
          <w:rFonts w:ascii="Arial" w:hAnsi="Arial" w:cs="Arial"/>
          <w:lang w:val="es-VE"/>
        </w:rPr>
        <w:t>estra una disminución de la “n”</w:t>
      </w:r>
      <w:r w:rsidR="007F6DE8">
        <w:rPr>
          <w:rFonts w:ascii="Arial" w:hAnsi="Arial" w:cs="Arial"/>
          <w:lang w:val="es-VE"/>
        </w:rPr>
        <w:t xml:space="preserve"> (</w:t>
      </w:r>
      <w:r w:rsidR="00910EAE">
        <w:rPr>
          <w:rFonts w:ascii="Arial" w:hAnsi="Arial" w:cs="Arial"/>
          <w:lang w:val="es-VE"/>
        </w:rPr>
        <w:t>población</w:t>
      </w:r>
      <w:r w:rsidR="007F6DE8">
        <w:rPr>
          <w:rFonts w:ascii="Arial" w:hAnsi="Arial" w:cs="Arial"/>
          <w:lang w:val="es-VE"/>
        </w:rPr>
        <w:t xml:space="preserve">), impresiona que el numero 4 corresponde al grupo que </w:t>
      </w:r>
      <w:r w:rsidR="007F6DE8">
        <w:rPr>
          <w:rFonts w:ascii="Arial" w:hAnsi="Arial" w:cs="Arial"/>
          <w:lang w:val="es-VE"/>
        </w:rPr>
        <w:lastRenderedPageBreak/>
        <w:t>presentaba la “n” más alta que era el grupo mayor a 90. Además</w:t>
      </w:r>
      <w:r w:rsidR="00910EAE">
        <w:rPr>
          <w:rFonts w:ascii="Arial" w:hAnsi="Arial" w:cs="Arial"/>
          <w:lang w:val="es-VE"/>
        </w:rPr>
        <w:t>,</w:t>
      </w:r>
      <w:r w:rsidR="007F6DE8">
        <w:rPr>
          <w:rFonts w:ascii="Arial" w:hAnsi="Arial" w:cs="Arial"/>
          <w:lang w:val="es-VE"/>
        </w:rPr>
        <w:t xml:space="preserve"> acotándose que no explican </w:t>
      </w:r>
      <w:r w:rsidR="00910EAE">
        <w:rPr>
          <w:rFonts w:ascii="Arial" w:hAnsi="Arial" w:cs="Arial"/>
          <w:lang w:val="es-VE"/>
        </w:rPr>
        <w:t>cuáles</w:t>
      </w:r>
      <w:r w:rsidR="007F6DE8">
        <w:rPr>
          <w:rFonts w:ascii="Arial" w:hAnsi="Arial" w:cs="Arial"/>
          <w:lang w:val="es-VE"/>
        </w:rPr>
        <w:t xml:space="preserve"> son las </w:t>
      </w:r>
      <w:r w:rsidR="003477C8">
        <w:rPr>
          <w:rFonts w:ascii="Arial" w:hAnsi="Arial" w:cs="Arial"/>
          <w:lang w:val="es-VE"/>
        </w:rPr>
        <w:t>características</w:t>
      </w:r>
      <w:r w:rsidR="007F6DE8">
        <w:rPr>
          <w:rFonts w:ascii="Arial" w:hAnsi="Arial" w:cs="Arial"/>
          <w:lang w:val="es-VE"/>
        </w:rPr>
        <w:t xml:space="preserve"> que se están emparejando. </w:t>
      </w:r>
    </w:p>
    <w:p w:rsidR="007F6DE8" w:rsidRDefault="007F6DE8" w:rsidP="00B85812">
      <w:pPr>
        <w:spacing w:after="0" w:line="276" w:lineRule="auto"/>
        <w:jc w:val="both"/>
        <w:rPr>
          <w:rFonts w:ascii="Arial" w:hAnsi="Arial" w:cs="Arial"/>
          <w:b/>
          <w:lang w:val="es-VE"/>
        </w:rPr>
      </w:pPr>
    </w:p>
    <w:p w:rsidR="003477C8" w:rsidRDefault="00950B08" w:rsidP="003477C8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  <w:r w:rsidRPr="00950B08">
        <w:rPr>
          <w:rFonts w:ascii="Arial" w:hAnsi="Arial" w:cs="Arial"/>
          <w:lang w:val="es-VE"/>
        </w:rPr>
        <w:t>En cuanto a las car</w:t>
      </w:r>
      <w:r w:rsidR="003477C8">
        <w:rPr>
          <w:rFonts w:ascii="Arial" w:hAnsi="Arial" w:cs="Arial"/>
          <w:lang w:val="es-VE"/>
        </w:rPr>
        <w:t>acterísticas basales</w:t>
      </w:r>
      <w:r w:rsidR="007C4626">
        <w:rPr>
          <w:rFonts w:ascii="Arial" w:hAnsi="Arial" w:cs="Arial"/>
          <w:lang w:val="es-VE"/>
        </w:rPr>
        <w:t>,</w:t>
      </w:r>
      <w:r w:rsidR="003477C8">
        <w:rPr>
          <w:rFonts w:ascii="Arial" w:hAnsi="Arial" w:cs="Arial"/>
          <w:lang w:val="es-VE"/>
        </w:rPr>
        <w:t xml:space="preserve"> el uso de </w:t>
      </w:r>
      <w:proofErr w:type="spellStart"/>
      <w:r w:rsidR="003477C8">
        <w:rPr>
          <w:rFonts w:ascii="Arial" w:hAnsi="Arial" w:cs="Arial"/>
          <w:lang w:val="es-VE"/>
        </w:rPr>
        <w:t>W</w:t>
      </w:r>
      <w:r w:rsidRPr="00950B08">
        <w:rPr>
          <w:rFonts w:ascii="Arial" w:hAnsi="Arial" w:cs="Arial"/>
          <w:lang w:val="es-VE"/>
        </w:rPr>
        <w:t>arfarina</w:t>
      </w:r>
      <w:proofErr w:type="spellEnd"/>
      <w:r w:rsidRPr="00950B08">
        <w:rPr>
          <w:rFonts w:ascii="Arial" w:hAnsi="Arial" w:cs="Arial"/>
          <w:lang w:val="es-VE"/>
        </w:rPr>
        <w:t xml:space="preserve"> presenta el mismo porcentaje en ambos grupos, (misma proporción de pacientes) y esta</w:t>
      </w:r>
      <w:r w:rsidR="003477C8">
        <w:rPr>
          <w:rFonts w:ascii="Arial" w:hAnsi="Arial" w:cs="Arial"/>
          <w:lang w:val="es-VE"/>
        </w:rPr>
        <w:t>blece una variable de confusión, y</w:t>
      </w:r>
      <w:r w:rsidR="007C4626">
        <w:rPr>
          <w:rFonts w:ascii="Arial" w:hAnsi="Arial" w:cs="Arial"/>
          <w:lang w:val="es-VE"/>
        </w:rPr>
        <w:t>a</w:t>
      </w:r>
      <w:r w:rsidR="003477C8">
        <w:rPr>
          <w:rFonts w:ascii="Arial" w:hAnsi="Arial" w:cs="Arial"/>
          <w:lang w:val="es-VE"/>
        </w:rPr>
        <w:t xml:space="preserve"> que no se puede definir si el evento es por el uso de </w:t>
      </w:r>
      <w:proofErr w:type="spellStart"/>
      <w:r w:rsidR="003477C8">
        <w:rPr>
          <w:rFonts w:ascii="Arial" w:hAnsi="Arial" w:cs="Arial"/>
          <w:lang w:val="es-VE"/>
        </w:rPr>
        <w:t>Warfarina</w:t>
      </w:r>
      <w:proofErr w:type="spellEnd"/>
      <w:r w:rsidR="007C4626">
        <w:rPr>
          <w:rFonts w:ascii="Arial" w:hAnsi="Arial" w:cs="Arial"/>
          <w:lang w:val="es-VE"/>
        </w:rPr>
        <w:t xml:space="preserve"> combinada con la enoxaparina</w:t>
      </w:r>
      <w:r w:rsidR="003477C8">
        <w:rPr>
          <w:rFonts w:ascii="Arial" w:hAnsi="Arial" w:cs="Arial"/>
          <w:lang w:val="es-VE"/>
        </w:rPr>
        <w:t xml:space="preserve"> o de la Enoxaparina</w:t>
      </w:r>
      <w:r w:rsidR="007C4626">
        <w:rPr>
          <w:rFonts w:ascii="Arial" w:hAnsi="Arial" w:cs="Arial"/>
          <w:lang w:val="es-VE"/>
        </w:rPr>
        <w:t xml:space="preserve"> sola.</w:t>
      </w:r>
    </w:p>
    <w:p w:rsidR="003477C8" w:rsidRDefault="003477C8" w:rsidP="003477C8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</w:p>
    <w:p w:rsidR="003477C8" w:rsidRDefault="003477C8" w:rsidP="003477C8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Es importante acotar por parte del Dr</w:t>
      </w:r>
      <w:r w:rsidR="00910EAE">
        <w:rPr>
          <w:rFonts w:ascii="Arial" w:hAnsi="Arial" w:cs="Arial"/>
          <w:lang w:val="es-VE"/>
        </w:rPr>
        <w:t>. Ascencio</w:t>
      </w:r>
      <w:r>
        <w:rPr>
          <w:rFonts w:ascii="Arial" w:hAnsi="Arial" w:cs="Arial"/>
          <w:lang w:val="es-VE"/>
        </w:rPr>
        <w:t>, que existían otros factores que no fueron estudiados, como la asociación de la droga con el uso de otros medicamentos que pueden desencadenar el sangrado y que no se puede adjudicar el evento a un fármaco en específico, por lo que dentro de los aportes del grupo, se incluye que al analizar la Enoxaparina lo más conveniente es que se pueda discriminar</w:t>
      </w:r>
      <w:r w:rsidR="007C4626">
        <w:rPr>
          <w:rFonts w:ascii="Arial" w:hAnsi="Arial" w:cs="Arial"/>
          <w:lang w:val="es-VE"/>
        </w:rPr>
        <w:t>,</w:t>
      </w:r>
      <w:r>
        <w:rPr>
          <w:rFonts w:ascii="Arial" w:hAnsi="Arial" w:cs="Arial"/>
          <w:lang w:val="es-VE"/>
        </w:rPr>
        <w:t xml:space="preserve"> dividido en subgrupos de aquellos pacientes que solo recibieron Enoxaparina presentaron eventos </w:t>
      </w:r>
      <w:proofErr w:type="spellStart"/>
      <w:r>
        <w:rPr>
          <w:rFonts w:ascii="Arial" w:hAnsi="Arial" w:cs="Arial"/>
          <w:lang w:val="es-VE"/>
        </w:rPr>
        <w:t>embolicos</w:t>
      </w:r>
      <w:proofErr w:type="spellEnd"/>
      <w:r>
        <w:rPr>
          <w:rFonts w:ascii="Arial" w:hAnsi="Arial" w:cs="Arial"/>
          <w:lang w:val="es-VE"/>
        </w:rPr>
        <w:t xml:space="preserve"> o hemorrágicos, si bien</w:t>
      </w:r>
      <w:r w:rsidR="007C4626">
        <w:rPr>
          <w:rFonts w:ascii="Arial" w:hAnsi="Arial" w:cs="Arial"/>
          <w:lang w:val="es-VE"/>
        </w:rPr>
        <w:t xml:space="preserve"> son </w:t>
      </w:r>
      <w:r w:rsidR="007C4626">
        <w:rPr>
          <w:rFonts w:ascii="Arial" w:hAnsi="Arial" w:cs="Arial"/>
          <w:lang w:val="es-VE"/>
        </w:rPr>
        <w:t>clínica</w:t>
      </w:r>
      <w:r w:rsidR="007C4626">
        <w:rPr>
          <w:rFonts w:ascii="Arial" w:hAnsi="Arial" w:cs="Arial"/>
          <w:lang w:val="es-VE"/>
        </w:rPr>
        <w:t xml:space="preserve"> y estadísticamente  similares</w:t>
      </w:r>
      <w:r>
        <w:rPr>
          <w:rFonts w:ascii="Arial" w:hAnsi="Arial" w:cs="Arial"/>
          <w:lang w:val="es-VE"/>
        </w:rPr>
        <w:t xml:space="preserve"> los grupos</w:t>
      </w:r>
      <w:r w:rsidR="007C4626">
        <w:rPr>
          <w:rFonts w:ascii="Arial" w:hAnsi="Arial" w:cs="Arial"/>
          <w:lang w:val="es-VE"/>
        </w:rPr>
        <w:t>,</w:t>
      </w:r>
      <w:r>
        <w:rPr>
          <w:rFonts w:ascii="Arial" w:hAnsi="Arial" w:cs="Arial"/>
          <w:lang w:val="es-VE"/>
        </w:rPr>
        <w:t xml:space="preserve"> genera confusión a la hora de analizar el resultado</w:t>
      </w:r>
      <w:r w:rsidR="007C4626">
        <w:rPr>
          <w:rFonts w:ascii="Arial" w:hAnsi="Arial" w:cs="Arial"/>
          <w:lang w:val="es-VE"/>
        </w:rPr>
        <w:t>.</w:t>
      </w:r>
    </w:p>
    <w:p w:rsidR="008D5C1A" w:rsidRDefault="008D5C1A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8D5C1A" w:rsidRDefault="008D5C1A" w:rsidP="007C4626">
      <w:pPr>
        <w:spacing w:after="0" w:line="276" w:lineRule="auto"/>
        <w:jc w:val="both"/>
        <w:rPr>
          <w:rFonts w:ascii="Arial" w:hAnsi="Arial" w:cs="Arial"/>
          <w:lang w:val="es-VE"/>
        </w:rPr>
      </w:pPr>
      <w:r w:rsidRPr="007B0113">
        <w:rPr>
          <w:rFonts w:ascii="Arial" w:hAnsi="Arial" w:cs="Arial"/>
          <w:b/>
          <w:lang w:val="es-VE"/>
        </w:rPr>
        <w:t>Dra</w:t>
      </w:r>
      <w:r w:rsidR="00910EAE">
        <w:rPr>
          <w:rFonts w:ascii="Arial" w:hAnsi="Arial" w:cs="Arial"/>
          <w:b/>
          <w:lang w:val="es-VE"/>
        </w:rPr>
        <w:t>.</w:t>
      </w:r>
      <w:r w:rsidRPr="007B0113">
        <w:rPr>
          <w:rFonts w:ascii="Arial" w:hAnsi="Arial" w:cs="Arial"/>
          <w:b/>
          <w:lang w:val="es-VE"/>
        </w:rPr>
        <w:t xml:space="preserve"> Raquel</w:t>
      </w:r>
      <w:r w:rsidR="00910EAE">
        <w:rPr>
          <w:rFonts w:ascii="Arial" w:hAnsi="Arial" w:cs="Arial"/>
          <w:b/>
          <w:lang w:val="es-VE"/>
        </w:rPr>
        <w:t xml:space="preserve"> González</w:t>
      </w:r>
      <w:r w:rsidRPr="007B0113">
        <w:rPr>
          <w:rFonts w:ascii="Arial" w:hAnsi="Arial" w:cs="Arial"/>
          <w:b/>
          <w:lang w:val="es-VE"/>
        </w:rPr>
        <w:t>:</w:t>
      </w:r>
      <w:r w:rsidR="007B0113">
        <w:rPr>
          <w:rFonts w:ascii="Arial" w:hAnsi="Arial" w:cs="Arial"/>
          <w:b/>
          <w:lang w:val="es-VE"/>
        </w:rPr>
        <w:t xml:space="preserve"> </w:t>
      </w:r>
      <w:r w:rsidR="007C4626" w:rsidRPr="007C4626">
        <w:rPr>
          <w:rFonts w:ascii="Arial" w:hAnsi="Arial" w:cs="Arial"/>
          <w:lang w:val="es-VE"/>
        </w:rPr>
        <w:t>C</w:t>
      </w:r>
      <w:r w:rsidR="007B0113">
        <w:rPr>
          <w:rFonts w:ascii="Arial" w:hAnsi="Arial" w:cs="Arial"/>
          <w:lang w:val="es-VE"/>
        </w:rPr>
        <w:t xml:space="preserve">omparte la idea que el </w:t>
      </w:r>
      <w:r w:rsidR="00440863">
        <w:rPr>
          <w:rFonts w:ascii="Arial" w:hAnsi="Arial" w:cs="Arial"/>
          <w:lang w:val="es-VE"/>
        </w:rPr>
        <w:t>artículo</w:t>
      </w:r>
      <w:r w:rsidR="007B0113">
        <w:rPr>
          <w:rFonts w:ascii="Arial" w:hAnsi="Arial" w:cs="Arial"/>
          <w:lang w:val="es-VE"/>
        </w:rPr>
        <w:t xml:space="preserve"> no responde a la interrogante del ciclo y que es importante tener en consideración el elemento de que habían pacientes que estaban utilizando </w:t>
      </w:r>
      <w:proofErr w:type="spellStart"/>
      <w:r w:rsidR="007B0113">
        <w:rPr>
          <w:rFonts w:ascii="Arial" w:hAnsi="Arial" w:cs="Arial"/>
          <w:lang w:val="es-VE"/>
        </w:rPr>
        <w:t>Warfarina</w:t>
      </w:r>
      <w:proofErr w:type="spellEnd"/>
      <w:r w:rsidR="007B0113">
        <w:rPr>
          <w:rFonts w:ascii="Arial" w:hAnsi="Arial" w:cs="Arial"/>
          <w:lang w:val="es-VE"/>
        </w:rPr>
        <w:t xml:space="preserve"> </w:t>
      </w:r>
      <w:r w:rsidR="00440863">
        <w:rPr>
          <w:rFonts w:ascii="Arial" w:hAnsi="Arial" w:cs="Arial"/>
          <w:lang w:val="es-VE"/>
        </w:rPr>
        <w:t>cabalgada, además</w:t>
      </w:r>
      <w:r w:rsidR="007B0113">
        <w:rPr>
          <w:rFonts w:ascii="Arial" w:hAnsi="Arial" w:cs="Arial"/>
          <w:lang w:val="es-VE"/>
        </w:rPr>
        <w:t xml:space="preserve"> de esos 8 pacientes que presentaron sangrado estaban incluidos los pacientes con </w:t>
      </w:r>
      <w:r>
        <w:rPr>
          <w:rFonts w:ascii="Arial" w:hAnsi="Arial" w:cs="Arial"/>
          <w:lang w:val="es-VE"/>
        </w:rPr>
        <w:t xml:space="preserve">neoplasias y </w:t>
      </w:r>
      <w:r w:rsidR="00910EAE">
        <w:rPr>
          <w:rFonts w:ascii="Arial" w:hAnsi="Arial" w:cs="Arial"/>
          <w:lang w:val="es-VE"/>
        </w:rPr>
        <w:t>otros factores pro hemorrágicos,</w:t>
      </w:r>
      <w:r w:rsidR="00440863">
        <w:rPr>
          <w:rFonts w:ascii="Arial" w:hAnsi="Arial" w:cs="Arial"/>
          <w:lang w:val="es-VE"/>
        </w:rPr>
        <w:t xml:space="preserve"> entonces al tener a ese pacientes con todos esos otros factores no se puede atribuir el sangrado </w:t>
      </w:r>
      <w:r w:rsidR="007C4626">
        <w:rPr>
          <w:rFonts w:ascii="Arial" w:hAnsi="Arial" w:cs="Arial"/>
          <w:lang w:val="es-VE"/>
        </w:rPr>
        <w:t>solo a</w:t>
      </w:r>
      <w:r w:rsidR="00440863">
        <w:rPr>
          <w:rFonts w:ascii="Arial" w:hAnsi="Arial" w:cs="Arial"/>
          <w:lang w:val="es-VE"/>
        </w:rPr>
        <w:t xml:space="preserve"> Enoxaparina. </w:t>
      </w:r>
    </w:p>
    <w:p w:rsidR="00440863" w:rsidRDefault="00440863" w:rsidP="007B0113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</w:p>
    <w:p w:rsidR="008D5C1A" w:rsidRDefault="00440863" w:rsidP="00440863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Culmina acotando que h</w:t>
      </w:r>
      <w:r w:rsidR="008D5C1A">
        <w:rPr>
          <w:rFonts w:ascii="Arial" w:hAnsi="Arial" w:cs="Arial"/>
          <w:lang w:val="es-VE"/>
        </w:rPr>
        <w:t xml:space="preserve">asta </w:t>
      </w:r>
      <w:r>
        <w:rPr>
          <w:rFonts w:ascii="Arial" w:hAnsi="Arial" w:cs="Arial"/>
          <w:lang w:val="es-VE"/>
        </w:rPr>
        <w:t>qué</w:t>
      </w:r>
      <w:r w:rsidR="008D5C1A">
        <w:rPr>
          <w:rFonts w:ascii="Arial" w:hAnsi="Arial" w:cs="Arial"/>
          <w:lang w:val="es-VE"/>
        </w:rPr>
        <w:t xml:space="preserve"> punto la obesidad</w:t>
      </w:r>
      <w:r>
        <w:rPr>
          <w:rFonts w:ascii="Arial" w:hAnsi="Arial" w:cs="Arial"/>
          <w:lang w:val="es-VE"/>
        </w:rPr>
        <w:t xml:space="preserve"> y los fenotipos de la obesidad </w:t>
      </w:r>
      <w:r w:rsidR="008D5C1A">
        <w:rPr>
          <w:rFonts w:ascii="Arial" w:hAnsi="Arial" w:cs="Arial"/>
          <w:lang w:val="es-VE"/>
        </w:rPr>
        <w:t xml:space="preserve"> es un paradigma que se debe tener en general en cualquier fármaco</w:t>
      </w:r>
      <w:r>
        <w:rPr>
          <w:rFonts w:ascii="Arial" w:hAnsi="Arial" w:cs="Arial"/>
          <w:lang w:val="es-VE"/>
        </w:rPr>
        <w:t xml:space="preserve"> anticoagulante, y </w:t>
      </w:r>
      <w:r w:rsidR="007C4626">
        <w:rPr>
          <w:rFonts w:ascii="Arial" w:hAnsi="Arial" w:cs="Arial"/>
          <w:lang w:val="es-VE"/>
        </w:rPr>
        <w:t>además</w:t>
      </w:r>
      <w:r>
        <w:rPr>
          <w:rFonts w:ascii="Arial" w:hAnsi="Arial" w:cs="Arial"/>
          <w:lang w:val="es-VE"/>
        </w:rPr>
        <w:t xml:space="preserve"> recalca la</w:t>
      </w:r>
      <w:r w:rsidR="008D5C1A">
        <w:rPr>
          <w:rFonts w:ascii="Arial" w:hAnsi="Arial" w:cs="Arial"/>
          <w:lang w:val="es-VE"/>
        </w:rPr>
        <w:t xml:space="preserve"> importancia de los ensayos clínicos. </w:t>
      </w:r>
    </w:p>
    <w:p w:rsidR="008D5C1A" w:rsidRDefault="008D5C1A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8D5C1A" w:rsidRDefault="007C4626" w:rsidP="007C4626">
      <w:pPr>
        <w:spacing w:after="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t xml:space="preserve">Dr. Oscar </w:t>
      </w:r>
      <w:proofErr w:type="spellStart"/>
      <w:r w:rsidR="008D5C1A" w:rsidRPr="00440863">
        <w:rPr>
          <w:rFonts w:ascii="Arial" w:hAnsi="Arial" w:cs="Arial"/>
          <w:b/>
          <w:lang w:val="es-VE"/>
        </w:rPr>
        <w:t>Sorondo</w:t>
      </w:r>
      <w:proofErr w:type="spellEnd"/>
      <w:r w:rsidR="008D5C1A" w:rsidRPr="00440863">
        <w:rPr>
          <w:rFonts w:ascii="Arial" w:hAnsi="Arial" w:cs="Arial"/>
          <w:b/>
          <w:lang w:val="es-VE"/>
        </w:rPr>
        <w:t>:</w:t>
      </w:r>
      <w:r w:rsidR="008D5C1A">
        <w:rPr>
          <w:rFonts w:ascii="Arial" w:hAnsi="Arial" w:cs="Arial"/>
          <w:lang w:val="es-VE"/>
        </w:rPr>
        <w:t xml:space="preserve"> El </w:t>
      </w:r>
      <w:r w:rsidR="00440863">
        <w:rPr>
          <w:rFonts w:ascii="Arial" w:hAnsi="Arial" w:cs="Arial"/>
          <w:lang w:val="es-VE"/>
        </w:rPr>
        <w:t>artículo</w:t>
      </w:r>
      <w:r w:rsidR="008D5C1A">
        <w:rPr>
          <w:rFonts w:ascii="Arial" w:hAnsi="Arial" w:cs="Arial"/>
          <w:lang w:val="es-VE"/>
        </w:rPr>
        <w:t xml:space="preserve"> metodológicamente no es el adecuado</w:t>
      </w:r>
      <w:r w:rsidR="0000761D">
        <w:rPr>
          <w:rFonts w:ascii="Arial" w:hAnsi="Arial" w:cs="Arial"/>
          <w:lang w:val="es-VE"/>
        </w:rPr>
        <w:t xml:space="preserve"> para responder la interrogante, y que hacer un estudio donde solo se involucren a la Enoxaparina </w:t>
      </w:r>
      <w:r w:rsidR="009C48FD">
        <w:rPr>
          <w:rFonts w:ascii="Arial" w:hAnsi="Arial" w:cs="Arial"/>
          <w:lang w:val="es-VE"/>
        </w:rPr>
        <w:t>sería</w:t>
      </w:r>
      <w:r w:rsidR="0000761D">
        <w:rPr>
          <w:rFonts w:ascii="Arial" w:hAnsi="Arial" w:cs="Arial"/>
          <w:lang w:val="es-VE"/>
        </w:rPr>
        <w:t xml:space="preserve"> lo ideal, sin embargo</w:t>
      </w:r>
      <w:r w:rsidR="009C48FD">
        <w:rPr>
          <w:rFonts w:ascii="Arial" w:hAnsi="Arial" w:cs="Arial"/>
          <w:lang w:val="es-VE"/>
        </w:rPr>
        <w:t>,</w:t>
      </w:r>
      <w:bookmarkStart w:id="0" w:name="_GoBack"/>
      <w:bookmarkEnd w:id="0"/>
      <w:r w:rsidR="0000761D">
        <w:rPr>
          <w:rFonts w:ascii="Arial" w:hAnsi="Arial" w:cs="Arial"/>
          <w:lang w:val="es-VE"/>
        </w:rPr>
        <w:t xml:space="preserve"> es un fármaco que es muy poco probable estudiarlo solo, en un escenario clínico donde se utilice como único medicamento,  en vista que generalmente se usa ligado a otro grupo de fármacos. </w:t>
      </w:r>
    </w:p>
    <w:p w:rsidR="0000761D" w:rsidRDefault="0000761D" w:rsidP="00440863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</w:p>
    <w:p w:rsidR="008D5C1A" w:rsidRDefault="0000761D" w:rsidP="005A6E29">
      <w:pPr>
        <w:spacing w:after="0" w:line="276" w:lineRule="auto"/>
        <w:ind w:firstLine="708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 xml:space="preserve">Según el </w:t>
      </w:r>
      <w:r w:rsidR="005A6E29">
        <w:rPr>
          <w:rFonts w:ascii="Arial" w:hAnsi="Arial" w:cs="Arial"/>
          <w:lang w:val="es-VE"/>
        </w:rPr>
        <w:t>artículo</w:t>
      </w:r>
      <w:r>
        <w:rPr>
          <w:rFonts w:ascii="Arial" w:hAnsi="Arial" w:cs="Arial"/>
          <w:lang w:val="es-VE"/>
        </w:rPr>
        <w:t>, se analiza que  no se</w:t>
      </w:r>
      <w:r w:rsidR="008D5C1A">
        <w:rPr>
          <w:rFonts w:ascii="Arial" w:hAnsi="Arial" w:cs="Arial"/>
          <w:lang w:val="es-VE"/>
        </w:rPr>
        <w:t xml:space="preserve"> puede ll</w:t>
      </w:r>
      <w:r>
        <w:rPr>
          <w:rFonts w:ascii="Arial" w:hAnsi="Arial" w:cs="Arial"/>
          <w:lang w:val="es-VE"/>
        </w:rPr>
        <w:t>egar a la conclusión de que la E</w:t>
      </w:r>
      <w:r w:rsidR="008D5C1A">
        <w:rPr>
          <w:rFonts w:ascii="Arial" w:hAnsi="Arial" w:cs="Arial"/>
          <w:lang w:val="es-VE"/>
        </w:rPr>
        <w:t>noxaparina incrementa el riesgo</w:t>
      </w:r>
      <w:r>
        <w:rPr>
          <w:rFonts w:ascii="Arial" w:hAnsi="Arial" w:cs="Arial"/>
          <w:lang w:val="es-VE"/>
        </w:rPr>
        <w:t xml:space="preserve"> por lo mencionado de la carencia metodológica </w:t>
      </w:r>
      <w:r w:rsidR="005A6E29">
        <w:rPr>
          <w:rFonts w:ascii="Arial" w:hAnsi="Arial" w:cs="Arial"/>
          <w:lang w:val="es-VE"/>
        </w:rPr>
        <w:t xml:space="preserve">de igual manera se debe rescatar y tener siempre en cuenta que a todo los pacientes se deben individualizar y estudiar la presencia de comorbilidades asociadas. </w:t>
      </w:r>
    </w:p>
    <w:p w:rsidR="00B85812" w:rsidRPr="00221A09" w:rsidRDefault="00B85812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B85812" w:rsidRPr="00950B08" w:rsidRDefault="00B85812" w:rsidP="00B85812">
      <w:pPr>
        <w:spacing w:after="0" w:line="276" w:lineRule="auto"/>
        <w:jc w:val="both"/>
        <w:rPr>
          <w:rFonts w:ascii="Arial" w:hAnsi="Arial" w:cs="Arial"/>
          <w:b/>
          <w:bCs/>
          <w:lang w:val="es-VE"/>
        </w:rPr>
      </w:pPr>
      <w:r w:rsidRPr="00950B08">
        <w:rPr>
          <w:rFonts w:ascii="Arial" w:hAnsi="Arial" w:cs="Arial"/>
          <w:b/>
          <w:bCs/>
          <w:lang w:val="es-VE"/>
        </w:rPr>
        <w:t xml:space="preserve">Destacamos los siguientes aportes: </w:t>
      </w:r>
    </w:p>
    <w:p w:rsidR="00B85812" w:rsidRDefault="00B85812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366D17" w:rsidRPr="009F7A5F" w:rsidRDefault="00AD13BC" w:rsidP="009F7A5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es-VE"/>
        </w:rPr>
      </w:pPr>
      <w:r w:rsidRPr="009F7A5F">
        <w:rPr>
          <w:rFonts w:ascii="Arial" w:hAnsi="Arial" w:cs="Arial"/>
          <w:bCs/>
          <w:lang w:val="es-ES"/>
        </w:rPr>
        <w:t xml:space="preserve">La evaluación de la aparición de eventos </w:t>
      </w:r>
      <w:proofErr w:type="spellStart"/>
      <w:r w:rsidRPr="009F7A5F">
        <w:rPr>
          <w:rFonts w:ascii="Arial" w:hAnsi="Arial" w:cs="Arial"/>
          <w:bCs/>
          <w:lang w:val="es-ES"/>
        </w:rPr>
        <w:t>embólicos</w:t>
      </w:r>
      <w:proofErr w:type="spellEnd"/>
      <w:r w:rsidRPr="009F7A5F">
        <w:rPr>
          <w:rFonts w:ascii="Arial" w:hAnsi="Arial" w:cs="Arial"/>
          <w:bCs/>
          <w:lang w:val="es-ES"/>
        </w:rPr>
        <w:t xml:space="preserve"> o hemorrágicos con el uso de enoxaparina según la dosis administrada debe evaluarse en pacientes que no </w:t>
      </w:r>
      <w:r w:rsidRPr="009F7A5F">
        <w:rPr>
          <w:rFonts w:ascii="Arial" w:hAnsi="Arial" w:cs="Arial"/>
          <w:bCs/>
          <w:lang w:val="es-ES"/>
        </w:rPr>
        <w:lastRenderedPageBreak/>
        <w:t xml:space="preserve">ameriten el uso simultaneo de otros anticoagulantes (terapia cabalgada) o </w:t>
      </w:r>
      <w:proofErr w:type="spellStart"/>
      <w:r w:rsidRPr="009F7A5F">
        <w:rPr>
          <w:rFonts w:ascii="Arial" w:hAnsi="Arial" w:cs="Arial"/>
          <w:bCs/>
          <w:lang w:val="es-ES"/>
        </w:rPr>
        <w:t>antiagregantes</w:t>
      </w:r>
      <w:proofErr w:type="spellEnd"/>
      <w:r w:rsidRPr="009F7A5F">
        <w:rPr>
          <w:rFonts w:ascii="Arial" w:hAnsi="Arial" w:cs="Arial"/>
          <w:bCs/>
          <w:lang w:val="es-ES"/>
        </w:rPr>
        <w:t xml:space="preserve"> plaquetarias, que harían difícil la discriminación del factor causal.   </w:t>
      </w:r>
    </w:p>
    <w:p w:rsidR="00366D17" w:rsidRPr="009F7A5F" w:rsidRDefault="00AD13BC" w:rsidP="009F7A5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es-VE"/>
        </w:rPr>
      </w:pPr>
      <w:r w:rsidRPr="009F7A5F">
        <w:rPr>
          <w:rFonts w:ascii="Arial" w:hAnsi="Arial" w:cs="Arial"/>
          <w:bCs/>
          <w:lang w:val="es-ES"/>
        </w:rPr>
        <w:t>Se recomienda utilizar escalas actualizadas validadas (Escala BARC)  para la definición de Hemorragias  mayores, menores o sangrado fatal.</w:t>
      </w:r>
    </w:p>
    <w:p w:rsidR="00366D17" w:rsidRPr="009F7A5F" w:rsidRDefault="00AD13BC" w:rsidP="009F7A5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es-VE"/>
        </w:rPr>
      </w:pPr>
      <w:r w:rsidRPr="009F7A5F">
        <w:rPr>
          <w:rFonts w:ascii="Arial" w:hAnsi="Arial" w:cs="Arial"/>
          <w:bCs/>
          <w:lang w:val="es-ES"/>
        </w:rPr>
        <w:t xml:space="preserve">Analizar como subgrupo a los pacientes con condiciones </w:t>
      </w:r>
      <w:proofErr w:type="spellStart"/>
      <w:r w:rsidRPr="009F7A5F">
        <w:rPr>
          <w:rFonts w:ascii="Arial" w:hAnsi="Arial" w:cs="Arial"/>
          <w:bCs/>
          <w:lang w:val="es-ES"/>
        </w:rPr>
        <w:t>protrombóticas</w:t>
      </w:r>
      <w:proofErr w:type="spellEnd"/>
      <w:r w:rsidRPr="009F7A5F">
        <w:rPr>
          <w:rFonts w:ascii="Arial" w:hAnsi="Arial" w:cs="Arial"/>
          <w:bCs/>
          <w:lang w:val="es-ES"/>
        </w:rPr>
        <w:t xml:space="preserve"> (neoplasias, enfermedad hepática, entre otras </w:t>
      </w:r>
      <w:proofErr w:type="spellStart"/>
      <w:r w:rsidRPr="009F7A5F">
        <w:rPr>
          <w:rFonts w:ascii="Arial" w:hAnsi="Arial" w:cs="Arial"/>
          <w:bCs/>
          <w:lang w:val="es-ES"/>
        </w:rPr>
        <w:t>comorbildades</w:t>
      </w:r>
      <w:proofErr w:type="spellEnd"/>
      <w:r w:rsidRPr="009F7A5F">
        <w:rPr>
          <w:rFonts w:ascii="Arial" w:hAnsi="Arial" w:cs="Arial"/>
          <w:bCs/>
          <w:lang w:val="es-ES"/>
        </w:rPr>
        <w:t xml:space="preserve">). </w:t>
      </w:r>
    </w:p>
    <w:p w:rsidR="00366D17" w:rsidRPr="009F7A5F" w:rsidRDefault="00AD13BC" w:rsidP="009F7A5F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es-VE"/>
        </w:rPr>
      </w:pPr>
      <w:r w:rsidRPr="009F7A5F">
        <w:rPr>
          <w:rFonts w:ascii="Arial" w:hAnsi="Arial" w:cs="Arial"/>
          <w:bCs/>
          <w:lang w:val="es-ES"/>
        </w:rPr>
        <w:t xml:space="preserve">Se plantea la necesidad de estudios prospectivos de aceptable poder estadístico donde monitoricen el efecto de la enoxaparina (Factor </w:t>
      </w:r>
      <w:proofErr w:type="spellStart"/>
      <w:r w:rsidRPr="009F7A5F">
        <w:rPr>
          <w:rFonts w:ascii="Arial" w:hAnsi="Arial" w:cs="Arial"/>
          <w:bCs/>
          <w:lang w:val="es-ES"/>
        </w:rPr>
        <w:t>Xa</w:t>
      </w:r>
      <w:proofErr w:type="spellEnd"/>
      <w:r w:rsidRPr="009F7A5F">
        <w:rPr>
          <w:rFonts w:ascii="Arial" w:hAnsi="Arial" w:cs="Arial"/>
          <w:bCs/>
          <w:lang w:val="es-ES"/>
        </w:rPr>
        <w:t xml:space="preserve">) para definir niveles infra o </w:t>
      </w:r>
      <w:proofErr w:type="spellStart"/>
      <w:r w:rsidRPr="009F7A5F">
        <w:rPr>
          <w:rFonts w:ascii="Arial" w:hAnsi="Arial" w:cs="Arial"/>
          <w:bCs/>
          <w:lang w:val="es-ES"/>
        </w:rPr>
        <w:t>supraterapéuticos</w:t>
      </w:r>
      <w:proofErr w:type="spellEnd"/>
      <w:r w:rsidRPr="009F7A5F">
        <w:rPr>
          <w:rFonts w:ascii="Arial" w:hAnsi="Arial" w:cs="Arial"/>
          <w:bCs/>
          <w:lang w:val="es-ES"/>
        </w:rPr>
        <w:t xml:space="preserve"> según las dosis utilizadas. </w:t>
      </w:r>
    </w:p>
    <w:p w:rsidR="009F7A5F" w:rsidRPr="00950B08" w:rsidRDefault="009F7A5F" w:rsidP="00B85812">
      <w:pPr>
        <w:spacing w:after="0" w:line="276" w:lineRule="auto"/>
        <w:jc w:val="both"/>
        <w:rPr>
          <w:rFonts w:ascii="Arial" w:hAnsi="Arial" w:cs="Arial"/>
          <w:lang w:val="es-VE"/>
        </w:rPr>
      </w:pPr>
    </w:p>
    <w:p w:rsidR="00B85812" w:rsidRPr="00B85812" w:rsidRDefault="00B85812" w:rsidP="00B85812">
      <w:pPr>
        <w:jc w:val="both"/>
        <w:rPr>
          <w:rFonts w:ascii="Arial" w:hAnsi="Arial" w:cs="Arial"/>
          <w:lang w:val="es-VE"/>
        </w:rPr>
      </w:pPr>
    </w:p>
    <w:p w:rsidR="00B85812" w:rsidRPr="00B85812" w:rsidRDefault="00B85812" w:rsidP="00B85812">
      <w:pPr>
        <w:jc w:val="both"/>
        <w:rPr>
          <w:rFonts w:ascii="Arial" w:hAnsi="Arial" w:cs="Arial"/>
          <w:lang w:val="es-VE"/>
        </w:rPr>
      </w:pPr>
    </w:p>
    <w:p w:rsidR="00B85812" w:rsidRPr="00221A09" w:rsidRDefault="00B85812" w:rsidP="00B85812">
      <w:pPr>
        <w:jc w:val="both"/>
        <w:rPr>
          <w:rFonts w:ascii="Arial" w:hAnsi="Arial" w:cs="Arial"/>
          <w:lang w:val="es-VE"/>
        </w:rPr>
      </w:pPr>
    </w:p>
    <w:p w:rsidR="005E7C81" w:rsidRPr="00B85812" w:rsidRDefault="009C48FD">
      <w:pPr>
        <w:rPr>
          <w:lang w:val="es-VE"/>
        </w:rPr>
      </w:pPr>
    </w:p>
    <w:sectPr w:rsidR="005E7C81" w:rsidRPr="00B85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4C6"/>
    <w:multiLevelType w:val="hybridMultilevel"/>
    <w:tmpl w:val="5472EE8A"/>
    <w:lvl w:ilvl="0" w:tplc="CC9C06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1304D"/>
    <w:multiLevelType w:val="hybridMultilevel"/>
    <w:tmpl w:val="7A24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F61EF"/>
    <w:multiLevelType w:val="hybridMultilevel"/>
    <w:tmpl w:val="F4D2B092"/>
    <w:lvl w:ilvl="0" w:tplc="3A7E5FC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101197"/>
    <w:multiLevelType w:val="hybridMultilevel"/>
    <w:tmpl w:val="19FC1A0C"/>
    <w:lvl w:ilvl="0" w:tplc="869EC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A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CE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8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C0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0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0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83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66769B"/>
    <w:multiLevelType w:val="hybridMultilevel"/>
    <w:tmpl w:val="D4622ACA"/>
    <w:lvl w:ilvl="0" w:tplc="CC9C06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1409"/>
    <w:multiLevelType w:val="hybridMultilevel"/>
    <w:tmpl w:val="014C1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12"/>
    <w:rsid w:val="0000761D"/>
    <w:rsid w:val="003477C8"/>
    <w:rsid w:val="00366D17"/>
    <w:rsid w:val="003E0126"/>
    <w:rsid w:val="00440863"/>
    <w:rsid w:val="005A6E29"/>
    <w:rsid w:val="006A4F5C"/>
    <w:rsid w:val="007221DE"/>
    <w:rsid w:val="007B0113"/>
    <w:rsid w:val="007C4626"/>
    <w:rsid w:val="007F6DE8"/>
    <w:rsid w:val="008B5904"/>
    <w:rsid w:val="008D5C1A"/>
    <w:rsid w:val="00910EAE"/>
    <w:rsid w:val="00950B08"/>
    <w:rsid w:val="009C48FD"/>
    <w:rsid w:val="009F7A5F"/>
    <w:rsid w:val="00AD13BC"/>
    <w:rsid w:val="00B30C2A"/>
    <w:rsid w:val="00B85812"/>
    <w:rsid w:val="00C037BB"/>
    <w:rsid w:val="00D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DD6E-E1DF-4AB2-8F85-458AB0E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1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812"/>
    <w:pPr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8D5C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C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C1A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C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C1A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C1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3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USUARIO</cp:lastModifiedBy>
  <cp:revision>5</cp:revision>
  <dcterms:created xsi:type="dcterms:W3CDTF">2023-03-06T16:24:00Z</dcterms:created>
  <dcterms:modified xsi:type="dcterms:W3CDTF">2023-03-10T09:47:00Z</dcterms:modified>
</cp:coreProperties>
</file>