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94" w:rsidRPr="00F335EB" w:rsidRDefault="00655E94" w:rsidP="00655E94">
      <w:pPr>
        <w:shd w:val="clear" w:color="auto" w:fill="FFFFFF"/>
        <w:spacing w:after="0" w:line="173" w:lineRule="atLeast"/>
        <w:jc w:val="right"/>
        <w:rPr>
          <w:rFonts w:ascii="Cambria" w:eastAsia="Times New Roman" w:hAnsi="Cambria" w:cs="Arial"/>
          <w:color w:val="222222"/>
          <w:szCs w:val="20"/>
          <w:lang w:eastAsia="es-VE"/>
        </w:rPr>
      </w:pPr>
      <w:r w:rsidRPr="00F335EB">
        <w:rPr>
          <w:rFonts w:ascii="Cambria" w:eastAsia="Times New Roman" w:hAnsi="Cambria" w:cs="Arial"/>
          <w:color w:val="222222"/>
          <w:szCs w:val="20"/>
          <w:lang w:eastAsia="es-VE"/>
        </w:rPr>
        <w:t xml:space="preserve">Barquisimeto </w:t>
      </w:r>
      <w:r w:rsidRPr="00F335EB">
        <w:rPr>
          <w:rFonts w:ascii="Cambria" w:eastAsia="Times New Roman" w:hAnsi="Cambria" w:cs="Arial"/>
          <w:color w:val="222222"/>
          <w:szCs w:val="20"/>
          <w:lang w:eastAsia="es-VE"/>
        </w:rPr>
        <w:t>21</w:t>
      </w:r>
      <w:r w:rsidRPr="00F335EB">
        <w:rPr>
          <w:rFonts w:ascii="Cambria" w:eastAsia="Times New Roman" w:hAnsi="Cambria" w:cs="Arial"/>
          <w:color w:val="222222"/>
          <w:szCs w:val="20"/>
          <w:lang w:eastAsia="es-VE"/>
        </w:rPr>
        <w:t>/</w:t>
      </w:r>
      <w:r w:rsidRPr="00F335EB">
        <w:rPr>
          <w:rFonts w:ascii="Cambria" w:eastAsia="Times New Roman" w:hAnsi="Cambria" w:cs="Arial"/>
          <w:color w:val="222222"/>
          <w:szCs w:val="20"/>
          <w:lang w:eastAsia="es-VE"/>
        </w:rPr>
        <w:t>01</w:t>
      </w:r>
      <w:r w:rsidRPr="00F335EB">
        <w:rPr>
          <w:rFonts w:ascii="Cambria" w:eastAsia="Times New Roman" w:hAnsi="Cambria" w:cs="Arial"/>
          <w:color w:val="222222"/>
          <w:szCs w:val="20"/>
          <w:lang w:eastAsia="es-VE"/>
        </w:rPr>
        <w:t>/1</w:t>
      </w:r>
      <w:r w:rsidRPr="00F335EB">
        <w:rPr>
          <w:rFonts w:ascii="Cambria" w:eastAsia="Times New Roman" w:hAnsi="Cambria" w:cs="Arial"/>
          <w:color w:val="222222"/>
          <w:szCs w:val="20"/>
          <w:lang w:eastAsia="es-VE"/>
        </w:rPr>
        <w:t>9</w:t>
      </w:r>
    </w:p>
    <w:p w:rsidR="00655E94" w:rsidRPr="00F335EB" w:rsidRDefault="00655E94" w:rsidP="00655E94">
      <w:pPr>
        <w:shd w:val="clear" w:color="auto" w:fill="FFFFFF"/>
        <w:spacing w:after="0" w:line="173" w:lineRule="atLeast"/>
        <w:jc w:val="right"/>
        <w:rPr>
          <w:rFonts w:ascii="Cambria" w:eastAsia="Times New Roman" w:hAnsi="Cambria" w:cs="Arial"/>
          <w:color w:val="222222"/>
          <w:szCs w:val="20"/>
          <w:lang w:eastAsia="es-VE"/>
        </w:rPr>
      </w:pPr>
    </w:p>
    <w:p w:rsidR="00655E94" w:rsidRPr="00F335EB" w:rsidRDefault="00655E94" w:rsidP="00655E94">
      <w:pPr>
        <w:shd w:val="clear" w:color="auto" w:fill="FFFFFF"/>
        <w:tabs>
          <w:tab w:val="left" w:pos="1843"/>
        </w:tabs>
        <w:spacing w:after="0" w:line="173" w:lineRule="atLeast"/>
        <w:jc w:val="center"/>
        <w:rPr>
          <w:rFonts w:ascii="Cambria" w:eastAsia="Times New Roman" w:hAnsi="Cambria" w:cs="Arial"/>
          <w:b/>
          <w:color w:val="222222"/>
          <w:szCs w:val="20"/>
          <w:lang w:eastAsia="es-VE"/>
        </w:rPr>
      </w:pPr>
      <w:r w:rsidRPr="00F335EB">
        <w:rPr>
          <w:rFonts w:ascii="Cambria" w:eastAsia="Times New Roman" w:hAnsi="Cambria" w:cs="Arial"/>
          <w:b/>
          <w:color w:val="222222"/>
          <w:szCs w:val="20"/>
          <w:lang w:eastAsia="es-VE"/>
        </w:rPr>
        <w:t xml:space="preserve">Relatoría de </w:t>
      </w:r>
      <w:r w:rsidR="00F335EB">
        <w:rPr>
          <w:rFonts w:ascii="Cambria" w:eastAsia="Times New Roman" w:hAnsi="Cambria" w:cs="Arial"/>
          <w:b/>
          <w:color w:val="222222"/>
          <w:szCs w:val="20"/>
          <w:lang w:eastAsia="es-VE"/>
        </w:rPr>
        <w:t>r</w:t>
      </w:r>
      <w:r w:rsidRPr="00F335EB">
        <w:rPr>
          <w:rFonts w:ascii="Cambria" w:eastAsia="Times New Roman" w:hAnsi="Cambria" w:cs="Arial"/>
          <w:b/>
          <w:color w:val="222222"/>
          <w:szCs w:val="20"/>
          <w:lang w:eastAsia="es-VE"/>
        </w:rPr>
        <w:t>evisión de evidencia científica</w:t>
      </w:r>
    </w:p>
    <w:p w:rsidR="00655E94" w:rsidRPr="00F335EB" w:rsidRDefault="00655E94" w:rsidP="00655E94">
      <w:pPr>
        <w:shd w:val="clear" w:color="auto" w:fill="FFFFFF"/>
        <w:tabs>
          <w:tab w:val="left" w:pos="1843"/>
        </w:tabs>
        <w:spacing w:after="0" w:line="173" w:lineRule="atLeast"/>
        <w:jc w:val="center"/>
        <w:rPr>
          <w:rFonts w:ascii="Cambria" w:eastAsia="Times New Roman" w:hAnsi="Cambria" w:cs="Arial"/>
          <w:b/>
          <w:color w:val="222222"/>
          <w:szCs w:val="20"/>
          <w:lang w:eastAsia="es-VE"/>
        </w:rPr>
      </w:pPr>
      <w:r w:rsidRPr="00F335EB">
        <w:rPr>
          <w:rFonts w:ascii="Cambria" w:eastAsia="Times New Roman" w:hAnsi="Cambria" w:cs="Arial"/>
          <w:b/>
          <w:color w:val="222222"/>
          <w:szCs w:val="20"/>
          <w:lang w:eastAsia="es-VE"/>
        </w:rPr>
        <w:t>Grupo # 1</w:t>
      </w:r>
    </w:p>
    <w:p w:rsidR="00655E94" w:rsidRPr="00F335EB" w:rsidRDefault="00655E94" w:rsidP="00655E94">
      <w:pPr>
        <w:shd w:val="clear" w:color="auto" w:fill="FFFFFF"/>
        <w:tabs>
          <w:tab w:val="left" w:pos="1843"/>
        </w:tabs>
        <w:spacing w:after="0" w:line="173" w:lineRule="atLeast"/>
        <w:jc w:val="center"/>
        <w:rPr>
          <w:rFonts w:ascii="Cambria" w:eastAsia="Times New Roman" w:hAnsi="Cambria" w:cs="Arial"/>
          <w:b/>
          <w:color w:val="222222"/>
          <w:szCs w:val="20"/>
          <w:lang w:eastAsia="es-VE"/>
        </w:rPr>
      </w:pPr>
    </w:p>
    <w:p w:rsidR="00655E94" w:rsidRDefault="00655E94" w:rsidP="00655E94">
      <w:pPr>
        <w:shd w:val="clear" w:color="auto" w:fill="FFFFFF"/>
        <w:tabs>
          <w:tab w:val="left" w:pos="1843"/>
        </w:tabs>
        <w:spacing w:after="0" w:line="173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s-VE"/>
        </w:rPr>
      </w:pPr>
      <w:r w:rsidRPr="00F335EB">
        <w:rPr>
          <w:rFonts w:ascii="Cambria" w:eastAsia="Times New Roman" w:hAnsi="Cambria" w:cs="Arial"/>
          <w:color w:val="222222"/>
          <w:szCs w:val="20"/>
          <w:lang w:eastAsia="es-VE"/>
        </w:rPr>
        <w:drawing>
          <wp:anchor distT="0" distB="0" distL="114300" distR="114300" simplePos="0" relativeHeight="251658240" behindDoc="1" locked="0" layoutInCell="1" allowOverlap="1" wp14:anchorId="0CDE5F9A">
            <wp:simplePos x="0" y="0"/>
            <wp:positionH relativeFrom="margin">
              <wp:align>center</wp:align>
            </wp:positionH>
            <wp:positionV relativeFrom="paragraph">
              <wp:posOffset>278102</wp:posOffset>
            </wp:positionV>
            <wp:extent cx="6343456" cy="2000184"/>
            <wp:effectExtent l="38100" t="38100" r="38735" b="38735"/>
            <wp:wrapTight wrapText="bothSides">
              <wp:wrapPolygon edited="0">
                <wp:start x="-130" y="-412"/>
                <wp:lineTo x="-130" y="21813"/>
                <wp:lineTo x="21667" y="21813"/>
                <wp:lineTo x="21667" y="-412"/>
                <wp:lineTo x="-130" y="-412"/>
              </wp:wrapPolygon>
            </wp:wrapTight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2286318E-9112-4A45-A691-262DF1EBAE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2286318E-9112-4A45-A691-262DF1EBAE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456" cy="2000184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5EB">
        <w:rPr>
          <w:rFonts w:ascii="Cambria" w:eastAsia="Times New Roman" w:hAnsi="Cambria" w:cs="Arial"/>
          <w:b/>
          <w:color w:val="222222"/>
          <w:szCs w:val="20"/>
          <w:lang w:eastAsia="es-VE"/>
        </w:rPr>
        <w:t>Articulo discutido</w:t>
      </w:r>
      <w:r w:rsidRPr="00DB18DA">
        <w:rPr>
          <w:rFonts w:ascii="Arial" w:eastAsia="Times New Roman" w:hAnsi="Arial" w:cs="Arial"/>
          <w:b/>
          <w:color w:val="222222"/>
          <w:sz w:val="20"/>
          <w:szCs w:val="20"/>
          <w:lang w:eastAsia="es-VE"/>
        </w:rPr>
        <w:t>:</w:t>
      </w:r>
    </w:p>
    <w:p w:rsidR="00655E94" w:rsidRDefault="00655E94" w:rsidP="00655E94">
      <w:pPr>
        <w:shd w:val="clear" w:color="auto" w:fill="FFFFFF"/>
        <w:tabs>
          <w:tab w:val="left" w:pos="1843"/>
        </w:tabs>
        <w:spacing w:after="0" w:line="173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</w:p>
    <w:p w:rsidR="00655E94" w:rsidRDefault="00655E94" w:rsidP="00655E94">
      <w:pPr>
        <w:shd w:val="clear" w:color="auto" w:fill="FFFFFF"/>
        <w:tabs>
          <w:tab w:val="left" w:pos="1843"/>
        </w:tabs>
        <w:spacing w:after="0" w:line="173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</w:p>
    <w:p w:rsidR="00655E94" w:rsidRPr="00F335EB" w:rsidRDefault="00655E94" w:rsidP="00655E94">
      <w:pPr>
        <w:shd w:val="clear" w:color="auto" w:fill="FFFFFF"/>
        <w:spacing w:after="0" w:line="173" w:lineRule="atLeast"/>
        <w:jc w:val="both"/>
        <w:rPr>
          <w:rFonts w:ascii="Cambria" w:eastAsia="Times New Roman" w:hAnsi="Cambria" w:cs="Arial"/>
          <w:b/>
          <w:color w:val="222222"/>
          <w:sz w:val="28"/>
          <w:szCs w:val="32"/>
          <w:lang w:eastAsia="es-VE"/>
        </w:rPr>
      </w:pPr>
      <w:r w:rsidRPr="00F335EB">
        <w:rPr>
          <w:rFonts w:ascii="Cambria" w:eastAsia="Times New Roman" w:hAnsi="Cambria" w:cs="Arial"/>
          <w:b/>
          <w:color w:val="222222"/>
          <w:sz w:val="28"/>
          <w:szCs w:val="32"/>
          <w:lang w:eastAsia="es-VE"/>
        </w:rPr>
        <w:t>En</w:t>
      </w:r>
      <w:r w:rsidRPr="00F335EB">
        <w:rPr>
          <w:rFonts w:ascii="Cambria" w:eastAsia="Times New Roman" w:hAnsi="Cambria" w:cs="Arial"/>
          <w:b/>
          <w:color w:val="222222"/>
          <w:sz w:val="28"/>
          <w:szCs w:val="32"/>
          <w:lang w:eastAsia="es-VE"/>
        </w:rPr>
        <w:t xml:space="preserve"> la discusión del artículo se </w:t>
      </w:r>
      <w:r w:rsidRPr="00F335EB">
        <w:rPr>
          <w:rFonts w:ascii="Cambria" w:eastAsia="Times New Roman" w:hAnsi="Cambria" w:cs="Arial"/>
          <w:b/>
          <w:color w:val="222222"/>
          <w:sz w:val="28"/>
          <w:szCs w:val="32"/>
          <w:lang w:eastAsia="es-VE"/>
        </w:rPr>
        <w:t>hicieron las siguientes observaciones:</w:t>
      </w:r>
    </w:p>
    <w:p w:rsidR="00655E94" w:rsidRPr="00F335EB" w:rsidRDefault="00655E94" w:rsidP="00655E94">
      <w:pPr>
        <w:shd w:val="clear" w:color="auto" w:fill="FFFFFF"/>
        <w:spacing w:after="0" w:line="173" w:lineRule="atLeast"/>
        <w:rPr>
          <w:rFonts w:ascii="Cambria" w:eastAsia="Times New Roman" w:hAnsi="Cambria" w:cs="Arial"/>
          <w:color w:val="222222"/>
          <w:sz w:val="28"/>
          <w:szCs w:val="32"/>
          <w:lang w:eastAsia="es-VE"/>
        </w:rPr>
      </w:pPr>
    </w:p>
    <w:p w:rsidR="00655E94" w:rsidRPr="00F335EB" w:rsidRDefault="00655E94" w:rsidP="00F335EB">
      <w:pPr>
        <w:pStyle w:val="Prrafodelista"/>
        <w:numPr>
          <w:ilvl w:val="0"/>
          <w:numId w:val="1"/>
        </w:numPr>
        <w:shd w:val="clear" w:color="auto" w:fill="FFFFFF"/>
        <w:spacing w:after="0" w:line="320" w:lineRule="exact"/>
        <w:ind w:hanging="357"/>
        <w:jc w:val="both"/>
        <w:rPr>
          <w:rFonts w:ascii="Cambria" w:eastAsia="Times New Roman" w:hAnsi="Cambria" w:cs="Arial"/>
          <w:color w:val="222222"/>
          <w:lang w:eastAsia="es-VE"/>
        </w:rPr>
      </w:pPr>
      <w:r w:rsidRPr="00F335EB">
        <w:rPr>
          <w:rFonts w:ascii="Cambria" w:eastAsia="Times New Roman" w:hAnsi="Cambria" w:cs="Calibri"/>
          <w:color w:val="000000"/>
          <w:lang w:eastAsia="es-VE"/>
        </w:rPr>
        <w:t xml:space="preserve">En </w:t>
      </w:r>
      <w:r w:rsidRPr="00F335EB">
        <w:rPr>
          <w:rFonts w:ascii="Cambria" w:eastAsia="Times New Roman" w:hAnsi="Cambria" w:cs="Calibri"/>
          <w:color w:val="000000"/>
          <w:lang w:eastAsia="es-VE"/>
        </w:rPr>
        <w:t xml:space="preserve">la tabla 1 se hizo la aclaratoria que se </w:t>
      </w:r>
      <w:r w:rsidR="00BC330D" w:rsidRPr="00F335EB">
        <w:rPr>
          <w:rFonts w:ascii="Cambria" w:eastAsia="Times New Roman" w:hAnsi="Cambria" w:cs="Calibri"/>
          <w:color w:val="000000"/>
          <w:lang w:eastAsia="es-VE"/>
        </w:rPr>
        <w:t>usó</w:t>
      </w:r>
      <w:r w:rsidRPr="00F335EB">
        <w:rPr>
          <w:rFonts w:ascii="Cambria" w:eastAsia="Times New Roman" w:hAnsi="Cambria" w:cs="Calibri"/>
          <w:color w:val="000000"/>
          <w:lang w:eastAsia="es-VE"/>
        </w:rPr>
        <w:t xml:space="preserve"> mediana y rango </w:t>
      </w:r>
      <w:proofErr w:type="spellStart"/>
      <w:r w:rsidRPr="00F335EB">
        <w:rPr>
          <w:rFonts w:ascii="Cambria" w:eastAsia="Times New Roman" w:hAnsi="Cambria" w:cs="Calibri"/>
          <w:color w:val="000000"/>
          <w:lang w:eastAsia="es-VE"/>
        </w:rPr>
        <w:t>intercuartilar</w:t>
      </w:r>
      <w:proofErr w:type="spellEnd"/>
      <w:r w:rsidRPr="00F335EB">
        <w:rPr>
          <w:rFonts w:ascii="Cambria" w:eastAsia="Times New Roman" w:hAnsi="Cambria" w:cs="Calibri"/>
          <w:color w:val="000000"/>
          <w:lang w:eastAsia="es-VE"/>
        </w:rPr>
        <w:t xml:space="preserve"> para las variables continuas y número y porcentaje para las variables categóricas</w:t>
      </w:r>
      <w:r w:rsidRPr="00F335EB">
        <w:rPr>
          <w:rFonts w:ascii="Cambria" w:eastAsia="Times New Roman" w:hAnsi="Cambria" w:cs="Calibri"/>
          <w:color w:val="000000"/>
          <w:lang w:eastAsia="es-VE"/>
        </w:rPr>
        <w:t>.</w:t>
      </w:r>
    </w:p>
    <w:p w:rsidR="00BC330D" w:rsidRPr="00F335EB" w:rsidRDefault="00BC330D" w:rsidP="00F335EB">
      <w:pPr>
        <w:pStyle w:val="Prrafodelista"/>
        <w:numPr>
          <w:ilvl w:val="1"/>
          <w:numId w:val="1"/>
        </w:numPr>
        <w:shd w:val="clear" w:color="auto" w:fill="FFFFFF"/>
        <w:spacing w:after="0" w:line="320" w:lineRule="exact"/>
        <w:ind w:hanging="357"/>
        <w:jc w:val="both"/>
        <w:rPr>
          <w:rFonts w:ascii="Cambria" w:eastAsia="Times New Roman" w:hAnsi="Cambria" w:cs="Arial"/>
          <w:color w:val="222222"/>
          <w:lang w:eastAsia="es-VE"/>
        </w:rPr>
      </w:pPr>
      <w:r w:rsidRPr="00F335EB">
        <w:rPr>
          <w:rFonts w:ascii="Cambria" w:eastAsia="Times New Roman" w:hAnsi="Cambria" w:cs="Arial"/>
          <w:color w:val="222222"/>
          <w:lang w:eastAsia="es-VE"/>
        </w:rPr>
        <w:t>La TFG en las características basales se refería a la prevalencia de enfermedad renal en los pacientes incluidos en el estudio, es decir, comorbilidades ya presentadas por los mismos al momento de ser incluidos en el estudio y no que fue desarrollada como consecuencia de la intervención.</w:t>
      </w:r>
    </w:p>
    <w:p w:rsidR="00BC330D" w:rsidRPr="00F335EB" w:rsidRDefault="00BC330D" w:rsidP="00F335EB">
      <w:pPr>
        <w:pStyle w:val="Prrafodelista"/>
        <w:numPr>
          <w:ilvl w:val="1"/>
          <w:numId w:val="1"/>
        </w:numPr>
        <w:shd w:val="clear" w:color="auto" w:fill="FFFFFF"/>
        <w:spacing w:after="0" w:line="320" w:lineRule="exact"/>
        <w:ind w:hanging="357"/>
        <w:jc w:val="both"/>
        <w:rPr>
          <w:rFonts w:ascii="Cambria" w:eastAsia="Times New Roman" w:hAnsi="Cambria" w:cs="Arial"/>
          <w:color w:val="222222"/>
          <w:lang w:eastAsia="es-VE"/>
        </w:rPr>
      </w:pPr>
      <w:r w:rsidRPr="00F335EB">
        <w:rPr>
          <w:rFonts w:ascii="Cambria" w:eastAsia="Times New Roman" w:hAnsi="Cambria" w:cs="Arial"/>
          <w:color w:val="222222"/>
          <w:lang w:eastAsia="es-VE"/>
        </w:rPr>
        <w:t>Ambos grupos (Mujeres y Hombres) tenían alta prevalencia de Hipertensión arterial, lo cual es un factor de riesgo importante en la cardiopatía isquémica.</w:t>
      </w:r>
    </w:p>
    <w:p w:rsidR="00BC330D" w:rsidRPr="00F335EB" w:rsidRDefault="00BC330D" w:rsidP="00F335EB">
      <w:pPr>
        <w:pStyle w:val="Prrafodelista"/>
        <w:numPr>
          <w:ilvl w:val="0"/>
          <w:numId w:val="1"/>
        </w:numPr>
        <w:shd w:val="clear" w:color="auto" w:fill="FFFFFF"/>
        <w:spacing w:after="0" w:line="320" w:lineRule="exact"/>
        <w:ind w:hanging="357"/>
        <w:jc w:val="both"/>
        <w:rPr>
          <w:rFonts w:ascii="Cambria" w:eastAsia="Times New Roman" w:hAnsi="Cambria" w:cs="Arial"/>
          <w:color w:val="222222"/>
          <w:lang w:eastAsia="es-VE"/>
        </w:rPr>
      </w:pPr>
      <w:r w:rsidRPr="00F335EB">
        <w:rPr>
          <w:rFonts w:ascii="Cambria" w:eastAsia="Times New Roman" w:hAnsi="Cambria" w:cs="Arial"/>
          <w:color w:val="222222"/>
          <w:lang w:eastAsia="es-VE"/>
        </w:rPr>
        <w:t xml:space="preserve">En la tabla 2 se evidencia una disminución de LDL-C estadísticamente significativa en el grupo de intervención </w:t>
      </w:r>
      <w:r w:rsidR="00484728" w:rsidRPr="00F335EB">
        <w:rPr>
          <w:rFonts w:ascii="Cambria" w:eastAsia="Times New Roman" w:hAnsi="Cambria" w:cs="Arial"/>
          <w:color w:val="222222"/>
          <w:lang w:eastAsia="es-VE"/>
        </w:rPr>
        <w:t xml:space="preserve">(tanto en hombres como en mujeres) </w:t>
      </w:r>
      <w:r w:rsidRPr="00F335EB">
        <w:rPr>
          <w:rFonts w:ascii="Cambria" w:eastAsia="Times New Roman" w:hAnsi="Cambria" w:cs="Arial"/>
          <w:color w:val="222222"/>
          <w:lang w:eastAsia="es-VE"/>
        </w:rPr>
        <w:t xml:space="preserve">al inicio y al año de seguimiento, </w:t>
      </w:r>
      <w:r w:rsidR="00484728" w:rsidRPr="00F335EB">
        <w:rPr>
          <w:rFonts w:ascii="Cambria" w:eastAsia="Times New Roman" w:hAnsi="Cambria" w:cs="Arial"/>
          <w:color w:val="222222"/>
          <w:lang w:eastAsia="es-VE"/>
        </w:rPr>
        <w:t xml:space="preserve">con rangos </w:t>
      </w:r>
      <w:proofErr w:type="spellStart"/>
      <w:r w:rsidR="00484728" w:rsidRPr="00F335EB">
        <w:rPr>
          <w:rFonts w:ascii="Cambria" w:eastAsia="Times New Roman" w:hAnsi="Cambria" w:cs="Arial"/>
          <w:color w:val="222222"/>
          <w:lang w:eastAsia="es-VE"/>
        </w:rPr>
        <w:t>intercuartilares</w:t>
      </w:r>
      <w:proofErr w:type="spellEnd"/>
      <w:r w:rsidR="00484728" w:rsidRPr="00F335EB">
        <w:rPr>
          <w:rFonts w:ascii="Cambria" w:eastAsia="Times New Roman" w:hAnsi="Cambria" w:cs="Arial"/>
          <w:color w:val="222222"/>
          <w:lang w:eastAsia="es-VE"/>
        </w:rPr>
        <w:t xml:space="preserve"> que no se superponen, sin embargo, al comparar con el grupo placebo, la disminución de niveles de LDL-C al año de seguimiento no fue estadísticamente significativa ya sus respectivos rangos </w:t>
      </w:r>
      <w:proofErr w:type="spellStart"/>
      <w:r w:rsidR="00484728" w:rsidRPr="00F335EB">
        <w:rPr>
          <w:rFonts w:ascii="Cambria" w:eastAsia="Times New Roman" w:hAnsi="Cambria" w:cs="Arial"/>
          <w:color w:val="222222"/>
          <w:lang w:eastAsia="es-VE"/>
        </w:rPr>
        <w:t>intercuatilares</w:t>
      </w:r>
      <w:proofErr w:type="spellEnd"/>
      <w:r w:rsidR="00484728" w:rsidRPr="00F335EB">
        <w:rPr>
          <w:rFonts w:ascii="Cambria" w:eastAsia="Times New Roman" w:hAnsi="Cambria" w:cs="Arial"/>
          <w:color w:val="222222"/>
          <w:lang w:eastAsia="es-VE"/>
        </w:rPr>
        <w:t xml:space="preserve"> se superponen.</w:t>
      </w:r>
    </w:p>
    <w:p w:rsidR="00484728" w:rsidRPr="00F335EB" w:rsidRDefault="00484728" w:rsidP="00F335EB">
      <w:pPr>
        <w:pStyle w:val="Prrafodelista"/>
        <w:numPr>
          <w:ilvl w:val="0"/>
          <w:numId w:val="1"/>
        </w:numPr>
        <w:shd w:val="clear" w:color="auto" w:fill="FFFFFF"/>
        <w:spacing w:after="0" w:line="320" w:lineRule="exact"/>
        <w:ind w:hanging="357"/>
        <w:jc w:val="both"/>
        <w:rPr>
          <w:rFonts w:ascii="Cambria" w:eastAsia="Times New Roman" w:hAnsi="Cambria" w:cs="Arial"/>
          <w:color w:val="222222"/>
          <w:lang w:eastAsia="es-VE"/>
        </w:rPr>
      </w:pPr>
      <w:r w:rsidRPr="00F335EB">
        <w:rPr>
          <w:rFonts w:ascii="Cambria" w:eastAsia="Times New Roman" w:hAnsi="Cambria" w:cs="Arial"/>
          <w:color w:val="222222"/>
          <w:lang w:eastAsia="es-VE"/>
        </w:rPr>
        <w:t>En la figura 1 se evidencia disminución de incidencia del punto final primario de 12 % en mujeres durante 7 años de seguimiento en comparación con el grupo placebo, sin embargo, los intervalos de confianza se encuentran muy cercano a la unidad (0.79-0.99) por lo que se debe ver el compuesto del punto final primario de forma desglosada.</w:t>
      </w:r>
    </w:p>
    <w:p w:rsidR="00484728" w:rsidRPr="005E2A7B" w:rsidRDefault="00484728" w:rsidP="005E2A7B">
      <w:pPr>
        <w:pStyle w:val="Prrafodelista"/>
        <w:numPr>
          <w:ilvl w:val="0"/>
          <w:numId w:val="1"/>
        </w:numPr>
        <w:shd w:val="clear" w:color="auto" w:fill="FFFFFF"/>
        <w:spacing w:after="0" w:line="320" w:lineRule="exact"/>
        <w:ind w:hanging="357"/>
        <w:jc w:val="both"/>
        <w:rPr>
          <w:rFonts w:ascii="Cambria" w:eastAsia="Times New Roman" w:hAnsi="Cambria" w:cs="Arial"/>
          <w:color w:val="222222"/>
          <w:lang w:eastAsia="es-VE"/>
        </w:rPr>
      </w:pPr>
      <w:r w:rsidRPr="00F335EB">
        <w:rPr>
          <w:rFonts w:ascii="Cambria" w:eastAsia="Times New Roman" w:hAnsi="Cambria" w:cs="Arial"/>
          <w:color w:val="222222"/>
          <w:lang w:eastAsia="es-VE"/>
        </w:rPr>
        <w:t xml:space="preserve">En la figura 2 se observa el compuesto del punto final primario de forma desglosada donde se evidencia mayor disminución del IM </w:t>
      </w:r>
      <w:r w:rsidR="00A66A63" w:rsidRPr="00F335EB">
        <w:rPr>
          <w:rFonts w:ascii="Cambria" w:hAnsi="Cambria"/>
          <w:noProof/>
        </w:rPr>
        <w:t xml:space="preserve">(22%) </w:t>
      </w:r>
      <w:r w:rsidRPr="00F335EB">
        <w:rPr>
          <w:rFonts w:ascii="Cambria" w:eastAsia="Times New Roman" w:hAnsi="Cambria" w:cs="Arial"/>
          <w:color w:val="222222"/>
          <w:lang w:eastAsia="es-VE"/>
        </w:rPr>
        <w:t>en mujeres</w:t>
      </w:r>
      <w:r w:rsidR="00A66A63" w:rsidRPr="00F335EB">
        <w:rPr>
          <w:rFonts w:ascii="Cambria" w:eastAsia="Times New Roman" w:hAnsi="Cambria" w:cs="Arial"/>
          <w:color w:val="222222"/>
          <w:lang w:eastAsia="es-VE"/>
        </w:rPr>
        <w:t>, siendo este quien da la significancia estadística</w:t>
      </w:r>
      <w:r w:rsidR="005E2A7B">
        <w:rPr>
          <w:rFonts w:ascii="Cambria" w:eastAsia="Times New Roman" w:hAnsi="Cambria" w:cs="Arial"/>
          <w:color w:val="222222"/>
          <w:lang w:eastAsia="es-VE"/>
        </w:rPr>
        <w:t>, en la disminució</w:t>
      </w:r>
      <w:r w:rsidR="005E2A7B" w:rsidRPr="005E2A7B">
        <w:rPr>
          <w:rFonts w:ascii="Cambria" w:eastAsia="Times New Roman" w:hAnsi="Cambria" w:cs="Arial"/>
          <w:color w:val="222222"/>
          <w:lang w:eastAsia="es-VE"/>
        </w:rPr>
        <w:t>n</w:t>
      </w:r>
      <w:r w:rsidR="005E2A7B">
        <w:rPr>
          <w:rFonts w:ascii="Cambria" w:eastAsia="Times New Roman" w:hAnsi="Cambria" w:cs="Arial"/>
          <w:color w:val="222222"/>
          <w:lang w:eastAsia="es-VE"/>
        </w:rPr>
        <w:t xml:space="preserve"> de la incidencia del punto final primario.</w:t>
      </w:r>
      <w:r w:rsidR="005E2A7B" w:rsidRPr="005E2A7B">
        <w:rPr>
          <w:rFonts w:ascii="Cambria" w:eastAsia="Times New Roman" w:hAnsi="Cambria" w:cs="Arial"/>
          <w:color w:val="222222"/>
          <w:lang w:eastAsia="es-VE"/>
        </w:rPr>
        <w:t xml:space="preserve"> </w:t>
      </w:r>
    </w:p>
    <w:p w:rsidR="00A66A63" w:rsidRPr="00F335EB" w:rsidRDefault="00A66A63" w:rsidP="00F335EB">
      <w:pPr>
        <w:pStyle w:val="Prrafodelista"/>
        <w:numPr>
          <w:ilvl w:val="0"/>
          <w:numId w:val="1"/>
        </w:numPr>
        <w:shd w:val="clear" w:color="auto" w:fill="FFFFFF"/>
        <w:spacing w:after="0" w:line="320" w:lineRule="exact"/>
        <w:ind w:hanging="357"/>
        <w:jc w:val="both"/>
        <w:rPr>
          <w:rFonts w:ascii="Cambria" w:eastAsia="Times New Roman" w:hAnsi="Cambria" w:cs="Arial"/>
          <w:color w:val="222222"/>
          <w:lang w:eastAsia="es-VE"/>
        </w:rPr>
      </w:pPr>
      <w:r w:rsidRPr="00F335EB">
        <w:rPr>
          <w:rFonts w:ascii="Cambria" w:eastAsia="Times New Roman" w:hAnsi="Cambria" w:cs="Arial"/>
          <w:color w:val="222222"/>
          <w:lang w:eastAsia="es-VE"/>
        </w:rPr>
        <w:lastRenderedPageBreak/>
        <w:t xml:space="preserve">En la figura 3 usan el riesgo relativo, sin embargo, tiene mayor peso el rango </w:t>
      </w:r>
      <w:proofErr w:type="spellStart"/>
      <w:r w:rsidRPr="00F335EB">
        <w:rPr>
          <w:rFonts w:ascii="Cambria" w:eastAsia="Times New Roman" w:hAnsi="Cambria" w:cs="Arial"/>
          <w:color w:val="222222"/>
          <w:lang w:eastAsia="es-VE"/>
        </w:rPr>
        <w:t>intercuartilar</w:t>
      </w:r>
      <w:proofErr w:type="spellEnd"/>
      <w:r w:rsidRPr="00F335EB">
        <w:rPr>
          <w:rFonts w:ascii="Cambria" w:eastAsia="Times New Roman" w:hAnsi="Cambria" w:cs="Arial"/>
          <w:color w:val="222222"/>
          <w:lang w:eastAsia="es-VE"/>
        </w:rPr>
        <w:t xml:space="preserve"> y Hazard ratio con intervalos de confianza.</w:t>
      </w:r>
    </w:p>
    <w:p w:rsidR="00F335EB" w:rsidRPr="00F335EB" w:rsidRDefault="00F335EB" w:rsidP="00F335EB">
      <w:pPr>
        <w:pStyle w:val="Prrafodelista"/>
        <w:numPr>
          <w:ilvl w:val="0"/>
          <w:numId w:val="1"/>
        </w:numPr>
        <w:shd w:val="clear" w:color="auto" w:fill="FFFFFF"/>
        <w:spacing w:after="0" w:line="320" w:lineRule="exact"/>
        <w:ind w:hanging="357"/>
        <w:jc w:val="both"/>
        <w:rPr>
          <w:rFonts w:ascii="Cambria" w:eastAsia="Times New Roman" w:hAnsi="Cambria" w:cs="Arial"/>
          <w:color w:val="222222"/>
          <w:lang w:eastAsia="es-VE"/>
        </w:rPr>
      </w:pPr>
      <w:r w:rsidRPr="00F335EB">
        <w:rPr>
          <w:rFonts w:ascii="Cambria" w:eastAsia="Times New Roman" w:hAnsi="Cambria" w:cs="Arial"/>
          <w:color w:val="222222"/>
          <w:lang w:eastAsia="es-VE"/>
        </w:rPr>
        <w:t>En la figura 5 se evidencia disminución de la incidencia acumulativa del punto final primario en el grupo de alto riesgo.</w:t>
      </w:r>
    </w:p>
    <w:p w:rsidR="00F335EB" w:rsidRPr="00F335EB" w:rsidRDefault="00F335EB" w:rsidP="00F335EB">
      <w:pPr>
        <w:pStyle w:val="Prrafodelista"/>
        <w:numPr>
          <w:ilvl w:val="0"/>
          <w:numId w:val="1"/>
        </w:numPr>
        <w:shd w:val="clear" w:color="auto" w:fill="FFFFFF"/>
        <w:spacing w:after="0" w:line="320" w:lineRule="exact"/>
        <w:ind w:hanging="357"/>
        <w:jc w:val="both"/>
        <w:rPr>
          <w:rFonts w:ascii="Cambria" w:eastAsia="Times New Roman" w:hAnsi="Cambria" w:cs="Arial"/>
          <w:color w:val="222222"/>
          <w:lang w:eastAsia="es-VE"/>
        </w:rPr>
      </w:pPr>
      <w:r w:rsidRPr="00F335EB">
        <w:rPr>
          <w:rFonts w:ascii="Cambria" w:eastAsia="Times New Roman" w:hAnsi="Cambria" w:cs="Arial"/>
          <w:color w:val="222222"/>
          <w:lang w:eastAsia="es-VE"/>
        </w:rPr>
        <w:t xml:space="preserve">En la tabla 3 se aclara que </w:t>
      </w:r>
      <w:r w:rsidRPr="00F335EB">
        <w:rPr>
          <w:rFonts w:ascii="Cambria" w:hAnsi="Cambria" w:cs="Arial"/>
          <w:color w:val="222222"/>
          <w:shd w:val="clear" w:color="auto" w:fill="FFFFFF"/>
        </w:rPr>
        <w:t>e</w:t>
      </w:r>
      <w:r w:rsidRPr="00F335EB">
        <w:rPr>
          <w:rFonts w:ascii="Cambria" w:hAnsi="Cambria" w:cs="Arial"/>
          <w:color w:val="222222"/>
          <w:shd w:val="clear" w:color="auto" w:fill="FFFFFF"/>
        </w:rPr>
        <w:t>l análisis por </w:t>
      </w:r>
      <w:r w:rsidRPr="00F335EB">
        <w:rPr>
          <w:rFonts w:ascii="Cambria" w:hAnsi="Cambria" w:cs="Arial"/>
          <w:bCs/>
          <w:color w:val="222222"/>
          <w:shd w:val="clear" w:color="auto" w:fill="FFFFFF"/>
        </w:rPr>
        <w:t>intención</w:t>
      </w:r>
      <w:r w:rsidRPr="00F335EB">
        <w:rPr>
          <w:rFonts w:ascii="Cambria" w:hAnsi="Cambria" w:cs="Arial"/>
          <w:color w:val="222222"/>
          <w:shd w:val="clear" w:color="auto" w:fill="FFFFFF"/>
        </w:rPr>
        <w:t> de </w:t>
      </w:r>
      <w:r w:rsidRPr="00F335EB">
        <w:rPr>
          <w:rFonts w:ascii="Cambria" w:hAnsi="Cambria" w:cs="Arial"/>
          <w:bCs/>
          <w:color w:val="222222"/>
          <w:shd w:val="clear" w:color="auto" w:fill="FFFFFF"/>
        </w:rPr>
        <w:t>tratar</w:t>
      </w:r>
      <w:r w:rsidRPr="00F335EB">
        <w:rPr>
          <w:rFonts w:ascii="Cambria" w:hAnsi="Cambria" w:cs="Arial"/>
          <w:color w:val="222222"/>
          <w:shd w:val="clear" w:color="auto" w:fill="FFFFFF"/>
        </w:rPr>
        <w:t> es un análisis de los participantes en un ensayo clínico basado en el grupo al que se han asignado inicialmente y no en el tratamiento recibido finalmente. No importa si abandonan el ensayo, si cumplen íntegramente el tratamiento o incluso si se cambia el tratamiento.</w:t>
      </w:r>
    </w:p>
    <w:p w:rsidR="00F335EB" w:rsidRDefault="00F335EB" w:rsidP="00F335EB">
      <w:pPr>
        <w:pStyle w:val="Prrafodelista"/>
        <w:shd w:val="clear" w:color="auto" w:fill="FFFFFF"/>
        <w:spacing w:after="0" w:line="320" w:lineRule="exact"/>
        <w:jc w:val="both"/>
        <w:rPr>
          <w:rFonts w:ascii="Cambria" w:eastAsia="Times New Roman" w:hAnsi="Cambria" w:cs="Arial"/>
          <w:color w:val="222222"/>
          <w:lang w:eastAsia="es-VE"/>
        </w:rPr>
      </w:pPr>
    </w:p>
    <w:p w:rsidR="00F335EB" w:rsidRPr="00F335EB" w:rsidRDefault="00F335EB" w:rsidP="00F335EB">
      <w:pPr>
        <w:pStyle w:val="Prrafodelista"/>
        <w:shd w:val="clear" w:color="auto" w:fill="FFFFFF"/>
        <w:spacing w:after="0" w:line="320" w:lineRule="exact"/>
        <w:jc w:val="right"/>
        <w:rPr>
          <w:rFonts w:ascii="Cambria" w:eastAsia="Times New Roman" w:hAnsi="Cambria" w:cs="Arial"/>
          <w:b/>
          <w:color w:val="222222"/>
          <w:u w:val="single"/>
          <w:lang w:eastAsia="es-VE"/>
        </w:rPr>
      </w:pPr>
      <w:r w:rsidRPr="00F335EB">
        <w:rPr>
          <w:rFonts w:ascii="Cambria" w:eastAsia="Times New Roman" w:hAnsi="Cambria" w:cs="Arial"/>
          <w:b/>
          <w:color w:val="222222"/>
          <w:u w:val="single"/>
          <w:lang w:eastAsia="es-VE"/>
        </w:rPr>
        <w:t>Integrantes:</w:t>
      </w:r>
    </w:p>
    <w:p w:rsidR="00F335EB" w:rsidRDefault="00F335EB" w:rsidP="00F335EB">
      <w:pPr>
        <w:pStyle w:val="Prrafodelista"/>
        <w:shd w:val="clear" w:color="auto" w:fill="FFFFFF"/>
        <w:spacing w:after="0" w:line="320" w:lineRule="exact"/>
        <w:jc w:val="right"/>
        <w:rPr>
          <w:rFonts w:ascii="Cambria" w:eastAsia="Times New Roman" w:hAnsi="Cambria" w:cs="Arial"/>
          <w:color w:val="222222"/>
          <w:lang w:eastAsia="es-VE"/>
        </w:rPr>
      </w:pPr>
      <w:r>
        <w:rPr>
          <w:rFonts w:ascii="Cambria" w:eastAsia="Times New Roman" w:hAnsi="Cambria" w:cs="Arial"/>
          <w:color w:val="222222"/>
          <w:lang w:eastAsia="es-VE"/>
        </w:rPr>
        <w:t>Osca</w:t>
      </w:r>
      <w:bookmarkStart w:id="0" w:name="_GoBack"/>
      <w:bookmarkEnd w:id="0"/>
      <w:r>
        <w:rPr>
          <w:rFonts w:ascii="Cambria" w:eastAsia="Times New Roman" w:hAnsi="Cambria" w:cs="Arial"/>
          <w:color w:val="222222"/>
          <w:lang w:eastAsia="es-VE"/>
        </w:rPr>
        <w:t>r Sorondo (Expositor)</w:t>
      </w:r>
    </w:p>
    <w:p w:rsidR="00F335EB" w:rsidRDefault="00F335EB" w:rsidP="00F335EB">
      <w:pPr>
        <w:pStyle w:val="Prrafodelista"/>
        <w:shd w:val="clear" w:color="auto" w:fill="FFFFFF"/>
        <w:spacing w:after="0" w:line="320" w:lineRule="exact"/>
        <w:jc w:val="right"/>
        <w:rPr>
          <w:rFonts w:ascii="Cambria" w:eastAsia="Times New Roman" w:hAnsi="Cambria" w:cs="Arial"/>
          <w:color w:val="222222"/>
          <w:lang w:eastAsia="es-VE"/>
        </w:rPr>
      </w:pPr>
      <w:proofErr w:type="spellStart"/>
      <w:r>
        <w:rPr>
          <w:rFonts w:ascii="Cambria" w:eastAsia="Times New Roman" w:hAnsi="Cambria" w:cs="Arial"/>
          <w:color w:val="222222"/>
          <w:lang w:eastAsia="es-VE"/>
        </w:rPr>
        <w:t>Francys</w:t>
      </w:r>
      <w:proofErr w:type="spellEnd"/>
      <w:r>
        <w:rPr>
          <w:rFonts w:ascii="Cambria" w:eastAsia="Times New Roman" w:hAnsi="Cambria" w:cs="Arial"/>
          <w:color w:val="222222"/>
          <w:lang w:eastAsia="es-VE"/>
        </w:rPr>
        <w:t xml:space="preserve"> Seijas (Relatora)</w:t>
      </w:r>
    </w:p>
    <w:p w:rsidR="00F335EB" w:rsidRDefault="00F335EB" w:rsidP="00F335EB">
      <w:pPr>
        <w:pStyle w:val="Prrafodelista"/>
        <w:shd w:val="clear" w:color="auto" w:fill="FFFFFF"/>
        <w:spacing w:after="0" w:line="320" w:lineRule="exact"/>
        <w:jc w:val="right"/>
        <w:rPr>
          <w:rFonts w:ascii="Cambria" w:eastAsia="Times New Roman" w:hAnsi="Cambria" w:cs="Arial"/>
          <w:color w:val="222222"/>
          <w:lang w:eastAsia="es-VE"/>
        </w:rPr>
      </w:pPr>
      <w:r>
        <w:rPr>
          <w:rFonts w:ascii="Cambria" w:eastAsia="Times New Roman" w:hAnsi="Cambria" w:cs="Arial"/>
          <w:color w:val="222222"/>
          <w:lang w:eastAsia="es-VE"/>
        </w:rPr>
        <w:t xml:space="preserve">Juan </w:t>
      </w:r>
      <w:proofErr w:type="spellStart"/>
      <w:r>
        <w:rPr>
          <w:rFonts w:ascii="Cambria" w:eastAsia="Times New Roman" w:hAnsi="Cambria" w:cs="Arial"/>
          <w:color w:val="222222"/>
          <w:lang w:eastAsia="es-VE"/>
        </w:rPr>
        <w:t>Cardenas</w:t>
      </w:r>
      <w:proofErr w:type="spellEnd"/>
    </w:p>
    <w:p w:rsidR="00F335EB" w:rsidRPr="00F335EB" w:rsidRDefault="00F335EB" w:rsidP="00F335EB">
      <w:pPr>
        <w:pStyle w:val="Prrafodelista"/>
        <w:shd w:val="clear" w:color="auto" w:fill="FFFFFF"/>
        <w:spacing w:after="0" w:line="320" w:lineRule="exact"/>
        <w:jc w:val="right"/>
        <w:rPr>
          <w:rFonts w:ascii="Cambria" w:eastAsia="Times New Roman" w:hAnsi="Cambria" w:cs="Arial"/>
          <w:color w:val="222222"/>
          <w:lang w:eastAsia="es-VE"/>
        </w:rPr>
      </w:pPr>
      <w:r>
        <w:rPr>
          <w:rFonts w:ascii="Cambria" w:eastAsia="Times New Roman" w:hAnsi="Cambria" w:cs="Arial"/>
          <w:color w:val="222222"/>
          <w:lang w:eastAsia="es-VE"/>
        </w:rPr>
        <w:t>Alexandra Flores (Introducción)</w:t>
      </w:r>
    </w:p>
    <w:p w:rsidR="00F335EB" w:rsidRPr="00BC330D" w:rsidRDefault="00F335EB" w:rsidP="00F335EB">
      <w:pPr>
        <w:pStyle w:val="Prrafodelista"/>
        <w:shd w:val="clear" w:color="auto" w:fill="FFFFFF"/>
        <w:spacing w:after="0" w:line="173" w:lineRule="atLeast"/>
        <w:jc w:val="both"/>
        <w:rPr>
          <w:rFonts w:asciiTheme="majorHAnsi" w:eastAsia="Times New Roman" w:hAnsiTheme="majorHAnsi" w:cs="Arial"/>
          <w:color w:val="222222"/>
          <w:sz w:val="24"/>
          <w:szCs w:val="32"/>
          <w:lang w:eastAsia="es-VE"/>
        </w:rPr>
      </w:pPr>
    </w:p>
    <w:p w:rsidR="00655E94" w:rsidRPr="00314DB4" w:rsidRDefault="00655E94" w:rsidP="00655E94">
      <w:pPr>
        <w:rPr>
          <w:rFonts w:asciiTheme="majorHAnsi" w:hAnsiTheme="majorHAnsi"/>
          <w:sz w:val="16"/>
        </w:rPr>
      </w:pPr>
    </w:p>
    <w:p w:rsidR="00FA4438" w:rsidRDefault="00FA4438"/>
    <w:sectPr w:rsidR="00FA4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4093"/>
    <w:multiLevelType w:val="hybridMultilevel"/>
    <w:tmpl w:val="0ACA3122"/>
    <w:lvl w:ilvl="0" w:tplc="48601E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94"/>
    <w:rsid w:val="00484728"/>
    <w:rsid w:val="005E2A7B"/>
    <w:rsid w:val="00655E94"/>
    <w:rsid w:val="00A66A63"/>
    <w:rsid w:val="00BC330D"/>
    <w:rsid w:val="00F335EB"/>
    <w:rsid w:val="00F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3C64E5"/>
  <w15:chartTrackingRefBased/>
  <w15:docId w15:val="{E33A0C25-79A6-4E3E-8396-648AB115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E94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2019-01-24T13:19:00Z</dcterms:created>
  <dcterms:modified xsi:type="dcterms:W3CDTF">2019-01-24T14:14:00Z</dcterms:modified>
</cp:coreProperties>
</file>