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C6" w:rsidRDefault="00A316C6" w:rsidP="00525A7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V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VE"/>
        </w:rPr>
        <w:t>RELATORIA</w:t>
      </w:r>
    </w:p>
    <w:p w:rsidR="00A316C6" w:rsidRDefault="00A316C6" w:rsidP="00525A7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VE"/>
        </w:rPr>
      </w:pPr>
    </w:p>
    <w:p w:rsidR="00525A77" w:rsidRPr="00A316C6" w:rsidRDefault="00525A77" w:rsidP="00A316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s-VE"/>
        </w:rPr>
      </w:pPr>
      <w:r w:rsidRPr="00A316C6">
        <w:rPr>
          <w:rFonts w:ascii="Times New Roman" w:eastAsia="Calibri" w:hAnsi="Times New Roman" w:cs="Times New Roman"/>
          <w:b/>
          <w:sz w:val="24"/>
          <w:szCs w:val="24"/>
          <w:lang w:val="es-VE"/>
        </w:rPr>
        <w:t>FICHA MERIDIANA:</w:t>
      </w:r>
      <w:r w:rsidRPr="00A316C6">
        <w:rPr>
          <w:rFonts w:ascii="Times New Roman" w:eastAsia="Calibri" w:hAnsi="Times New Roman" w:cs="Times New Roman"/>
          <w:sz w:val="24"/>
          <w:szCs w:val="24"/>
          <w:lang w:val="es-VE"/>
        </w:rPr>
        <w:t xml:space="preserve"> E</w:t>
      </w:r>
      <w:r w:rsidR="00A316C6" w:rsidRPr="00A316C6">
        <w:rPr>
          <w:rFonts w:ascii="Times New Roman" w:eastAsia="Calibri" w:hAnsi="Times New Roman" w:cs="Times New Roman"/>
          <w:sz w:val="24"/>
          <w:szCs w:val="24"/>
          <w:lang w:val="es-VE"/>
        </w:rPr>
        <w:t>videncia científica</w:t>
      </w:r>
      <w:r w:rsidR="00A316C6">
        <w:rPr>
          <w:rFonts w:ascii="Times New Roman" w:eastAsia="Calibri" w:hAnsi="Times New Roman" w:cs="Times New Roman"/>
          <w:sz w:val="24"/>
          <w:szCs w:val="24"/>
          <w:lang w:val="es-VE"/>
        </w:rPr>
        <w:t>.</w:t>
      </w:r>
    </w:p>
    <w:p w:rsidR="00A316C6" w:rsidRDefault="00525A77" w:rsidP="00525A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VE"/>
        </w:rPr>
      </w:pPr>
      <w:r w:rsidRPr="00A316C6">
        <w:rPr>
          <w:rFonts w:ascii="Times New Roman" w:eastAsia="Calibri" w:hAnsi="Times New Roman" w:cs="Times New Roman"/>
          <w:b/>
          <w:sz w:val="24"/>
          <w:szCs w:val="24"/>
          <w:lang w:val="es-VE"/>
        </w:rPr>
        <w:t xml:space="preserve">Fecha: </w:t>
      </w:r>
      <w:proofErr w:type="gramStart"/>
      <w:r w:rsidRPr="00A316C6">
        <w:rPr>
          <w:rFonts w:ascii="Times New Roman" w:eastAsia="Calibri" w:hAnsi="Times New Roman" w:cs="Times New Roman"/>
          <w:sz w:val="24"/>
          <w:szCs w:val="24"/>
          <w:lang w:val="es-VE"/>
        </w:rPr>
        <w:t>Lunes</w:t>
      </w:r>
      <w:proofErr w:type="gramEnd"/>
      <w:r w:rsidRPr="00A316C6">
        <w:rPr>
          <w:rFonts w:ascii="Times New Roman" w:eastAsia="Calibri" w:hAnsi="Times New Roman" w:cs="Times New Roman"/>
          <w:sz w:val="24"/>
          <w:szCs w:val="24"/>
          <w:lang w:val="es-VE"/>
        </w:rPr>
        <w:t>, 18 de Abril</w:t>
      </w:r>
      <w:r w:rsidR="005C6A71" w:rsidRPr="00A316C6">
        <w:rPr>
          <w:rFonts w:ascii="Times New Roman" w:eastAsia="Calibri" w:hAnsi="Times New Roman" w:cs="Times New Roman"/>
          <w:sz w:val="24"/>
          <w:szCs w:val="24"/>
          <w:lang w:val="es-VE"/>
        </w:rPr>
        <w:t xml:space="preserve"> de 2022</w:t>
      </w:r>
      <w:r w:rsidR="00A316C6">
        <w:rPr>
          <w:rFonts w:ascii="Times New Roman" w:eastAsia="Calibri" w:hAnsi="Times New Roman" w:cs="Times New Roman"/>
          <w:sz w:val="24"/>
          <w:szCs w:val="24"/>
          <w:lang w:val="es-VE"/>
        </w:rPr>
        <w:t>.</w:t>
      </w:r>
    </w:p>
    <w:p w:rsidR="00A316C6" w:rsidRDefault="00525A77" w:rsidP="00525A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VE"/>
        </w:rPr>
      </w:pPr>
      <w:r w:rsidRPr="00A316C6">
        <w:rPr>
          <w:rFonts w:ascii="Times New Roman" w:eastAsia="Calibri" w:hAnsi="Times New Roman" w:cs="Times New Roman"/>
          <w:b/>
          <w:sz w:val="24"/>
          <w:szCs w:val="24"/>
          <w:lang w:val="es-VE"/>
        </w:rPr>
        <w:t>Hora:</w:t>
      </w:r>
      <w:r w:rsidR="00A316C6">
        <w:rPr>
          <w:rFonts w:ascii="Times New Roman" w:eastAsia="Calibri" w:hAnsi="Times New Roman" w:cs="Times New Roman"/>
          <w:sz w:val="24"/>
          <w:szCs w:val="24"/>
          <w:lang w:val="es-VE"/>
        </w:rPr>
        <w:t xml:space="preserve"> 12:30pm a 2:00pm.</w:t>
      </w:r>
    </w:p>
    <w:p w:rsidR="00525A77" w:rsidRPr="00A316C6" w:rsidRDefault="00525A77" w:rsidP="00525A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VE"/>
        </w:rPr>
      </w:pPr>
      <w:r w:rsidRPr="00A316C6">
        <w:rPr>
          <w:rFonts w:ascii="Times New Roman" w:eastAsia="Calibri" w:hAnsi="Times New Roman" w:cs="Times New Roman"/>
          <w:b/>
          <w:sz w:val="24"/>
          <w:szCs w:val="24"/>
          <w:lang w:val="es-VE"/>
        </w:rPr>
        <w:t>Lugar:</w:t>
      </w:r>
      <w:r w:rsidRPr="00A316C6">
        <w:rPr>
          <w:rFonts w:ascii="Times New Roman" w:eastAsia="Calibri" w:hAnsi="Times New Roman" w:cs="Times New Roman"/>
          <w:sz w:val="24"/>
          <w:szCs w:val="24"/>
          <w:lang w:val="es-VE"/>
        </w:rPr>
        <w:t xml:space="preserve"> Sala de Conferencias CCR - </w:t>
      </w:r>
      <w:proofErr w:type="spellStart"/>
      <w:r w:rsidRPr="00A316C6">
        <w:rPr>
          <w:rFonts w:ascii="Times New Roman" w:eastAsia="Calibri" w:hAnsi="Times New Roman" w:cs="Times New Roman"/>
          <w:sz w:val="24"/>
          <w:szCs w:val="24"/>
          <w:lang w:val="es-VE"/>
        </w:rPr>
        <w:t>Ascardio</w:t>
      </w:r>
      <w:proofErr w:type="spellEnd"/>
      <w:r w:rsidRPr="00A316C6">
        <w:rPr>
          <w:rFonts w:ascii="Times New Roman" w:eastAsia="Calibri" w:hAnsi="Times New Roman" w:cs="Times New Roman"/>
          <w:sz w:val="24"/>
          <w:szCs w:val="24"/>
          <w:lang w:val="es-VE"/>
        </w:rPr>
        <w:t>.</w:t>
      </w:r>
    </w:p>
    <w:p w:rsidR="00525A77" w:rsidRPr="00A316C6" w:rsidRDefault="00525A77" w:rsidP="00525A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VE"/>
        </w:rPr>
      </w:pPr>
      <w:r w:rsidRPr="00A316C6">
        <w:rPr>
          <w:rFonts w:ascii="Times New Roman" w:eastAsia="Calibri" w:hAnsi="Times New Roman" w:cs="Times New Roman"/>
          <w:sz w:val="24"/>
          <w:szCs w:val="24"/>
          <w:lang w:val="es-VE"/>
        </w:rPr>
        <w:br/>
      </w:r>
      <w:r w:rsidRPr="00A316C6">
        <w:rPr>
          <w:rFonts w:ascii="Times New Roman" w:eastAsia="Calibri" w:hAnsi="Times New Roman" w:cs="Times New Roman"/>
          <w:b/>
          <w:sz w:val="24"/>
          <w:szCs w:val="24"/>
          <w:lang w:val="es-VE"/>
        </w:rPr>
        <w:t>Responsable:</w:t>
      </w:r>
      <w:r w:rsidRPr="00A316C6">
        <w:rPr>
          <w:rFonts w:ascii="Times New Roman" w:eastAsia="Calibri" w:hAnsi="Times New Roman" w:cs="Times New Roman"/>
          <w:sz w:val="24"/>
          <w:szCs w:val="24"/>
          <w:lang w:val="es-VE"/>
        </w:rPr>
        <w:t xml:space="preserve"> Grupo 08. </w:t>
      </w:r>
      <w:r w:rsidRPr="00A316C6">
        <w:rPr>
          <w:rFonts w:ascii="Times New Roman" w:eastAsia="Calibri" w:hAnsi="Times New Roman" w:cs="Times New Roman"/>
          <w:b/>
          <w:sz w:val="24"/>
          <w:szCs w:val="24"/>
          <w:lang w:val="es-VE"/>
        </w:rPr>
        <w:t xml:space="preserve">Ponente: </w:t>
      </w:r>
      <w:r w:rsidRPr="00A316C6">
        <w:rPr>
          <w:rFonts w:ascii="Times New Roman" w:eastAsia="Calibri" w:hAnsi="Times New Roman" w:cs="Times New Roman"/>
          <w:sz w:val="24"/>
          <w:szCs w:val="24"/>
          <w:lang w:val="es-VE"/>
        </w:rPr>
        <w:t xml:space="preserve">Reinaldo Arias (R2). </w:t>
      </w:r>
      <w:r w:rsidRPr="00A316C6">
        <w:rPr>
          <w:rFonts w:ascii="Times New Roman" w:eastAsia="Calibri" w:hAnsi="Times New Roman" w:cs="Times New Roman"/>
          <w:b/>
          <w:sz w:val="24"/>
          <w:szCs w:val="24"/>
          <w:lang w:val="es-VE"/>
        </w:rPr>
        <w:t>Relator:</w:t>
      </w:r>
      <w:r w:rsidRPr="00A316C6">
        <w:rPr>
          <w:rFonts w:ascii="Times New Roman" w:eastAsia="Calibri" w:hAnsi="Times New Roman" w:cs="Times New Roman"/>
          <w:sz w:val="24"/>
          <w:szCs w:val="24"/>
          <w:lang w:val="es-VE"/>
        </w:rPr>
        <w:t xml:space="preserve"> Silmar Urangas (R2)</w:t>
      </w:r>
      <w:r w:rsidRPr="00A316C6">
        <w:rPr>
          <w:rFonts w:ascii="Times New Roman" w:eastAsia="Calibri" w:hAnsi="Times New Roman" w:cs="Times New Roman"/>
          <w:b/>
          <w:sz w:val="24"/>
          <w:szCs w:val="24"/>
          <w:lang w:val="es-VE"/>
        </w:rPr>
        <w:t xml:space="preserve"> Resto de integrantes:</w:t>
      </w:r>
      <w:r w:rsidRPr="00A316C6">
        <w:rPr>
          <w:rFonts w:ascii="Times New Roman" w:eastAsia="Calibri" w:hAnsi="Times New Roman" w:cs="Times New Roman"/>
          <w:sz w:val="24"/>
          <w:szCs w:val="24"/>
          <w:lang w:val="es-VE"/>
        </w:rPr>
        <w:t xml:space="preserve"> </w:t>
      </w:r>
      <w:r w:rsidR="005C6A71" w:rsidRPr="00A316C6">
        <w:rPr>
          <w:rFonts w:ascii="Times New Roman" w:eastAsia="Calibri" w:hAnsi="Times New Roman" w:cs="Times New Roman"/>
          <w:sz w:val="24"/>
          <w:szCs w:val="24"/>
          <w:lang w:val="es-VE"/>
        </w:rPr>
        <w:t>Francisco Arias (R3), Eduardo Quintana (R1)</w:t>
      </w:r>
    </w:p>
    <w:p w:rsidR="00525A77" w:rsidRPr="00A316C6" w:rsidRDefault="00525A77" w:rsidP="00525A7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VE"/>
        </w:rPr>
      </w:pPr>
    </w:p>
    <w:p w:rsidR="00525A77" w:rsidRPr="00A316C6" w:rsidRDefault="00525A77" w:rsidP="00A316C6">
      <w:pPr>
        <w:jc w:val="both"/>
        <w:rPr>
          <w:rFonts w:ascii="Times New Roman" w:eastAsia="Calibri" w:hAnsi="Times New Roman" w:cs="Times New Roman"/>
          <w:sz w:val="24"/>
          <w:szCs w:val="24"/>
          <w:lang w:val="es-VE"/>
        </w:rPr>
      </w:pPr>
      <w:r w:rsidRPr="00A316C6">
        <w:rPr>
          <w:rFonts w:ascii="Times New Roman" w:eastAsia="Calibri" w:hAnsi="Times New Roman" w:cs="Times New Roman"/>
          <w:b/>
          <w:sz w:val="24"/>
          <w:szCs w:val="24"/>
          <w:lang w:val="es-VE"/>
        </w:rPr>
        <w:t>Presentes:</w:t>
      </w:r>
      <w:r w:rsidRPr="00A316C6">
        <w:rPr>
          <w:rFonts w:ascii="Times New Roman" w:eastAsia="Calibri" w:hAnsi="Times New Roman" w:cs="Times New Roman"/>
          <w:sz w:val="24"/>
          <w:szCs w:val="24"/>
          <w:lang w:val="es-VE"/>
        </w:rPr>
        <w:t xml:space="preserve"> Dra. Elizabeth Infante, Dra. </w:t>
      </w:r>
      <w:proofErr w:type="spellStart"/>
      <w:r w:rsidRPr="00A316C6">
        <w:rPr>
          <w:rFonts w:ascii="Times New Roman" w:eastAsia="Calibri" w:hAnsi="Times New Roman" w:cs="Times New Roman"/>
          <w:sz w:val="24"/>
          <w:szCs w:val="24"/>
          <w:lang w:val="es-VE"/>
        </w:rPr>
        <w:t>Marinela</w:t>
      </w:r>
      <w:proofErr w:type="spellEnd"/>
      <w:r w:rsidRPr="00A316C6">
        <w:rPr>
          <w:rFonts w:ascii="Times New Roman" w:eastAsia="Calibri" w:hAnsi="Times New Roman" w:cs="Times New Roman"/>
          <w:sz w:val="24"/>
          <w:szCs w:val="24"/>
          <w:lang w:val="es-VE"/>
        </w:rPr>
        <w:t xml:space="preserve"> </w:t>
      </w:r>
      <w:proofErr w:type="spellStart"/>
      <w:r w:rsidRPr="00A316C6">
        <w:rPr>
          <w:rFonts w:ascii="Times New Roman" w:eastAsia="Calibri" w:hAnsi="Times New Roman" w:cs="Times New Roman"/>
          <w:sz w:val="24"/>
          <w:szCs w:val="24"/>
          <w:lang w:val="es-VE"/>
        </w:rPr>
        <w:t>Falcone</w:t>
      </w:r>
      <w:proofErr w:type="spellEnd"/>
      <w:r w:rsidR="00BE10ED" w:rsidRPr="00A316C6">
        <w:rPr>
          <w:rFonts w:ascii="Times New Roman" w:eastAsia="Calibri" w:hAnsi="Times New Roman" w:cs="Times New Roman"/>
          <w:sz w:val="24"/>
          <w:szCs w:val="24"/>
          <w:lang w:val="es-VE"/>
        </w:rPr>
        <w:t>, R</w:t>
      </w:r>
      <w:r w:rsidRPr="00A316C6">
        <w:rPr>
          <w:rFonts w:ascii="Times New Roman" w:eastAsia="Calibri" w:hAnsi="Times New Roman" w:cs="Times New Roman"/>
          <w:sz w:val="24"/>
          <w:szCs w:val="24"/>
          <w:lang w:val="es-VE"/>
        </w:rPr>
        <w:t>esidentes de cardiología clínica y cardiología infantil</w:t>
      </w:r>
    </w:p>
    <w:p w:rsidR="003D1D8D" w:rsidRPr="00A316C6" w:rsidRDefault="00525A77" w:rsidP="003D1D8D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s-VE"/>
        </w:rPr>
      </w:pPr>
      <w:r w:rsidRPr="00A316C6">
        <w:rPr>
          <w:rFonts w:ascii="Times New Roman" w:eastAsia="Calibri" w:hAnsi="Times New Roman" w:cs="Times New Roman"/>
          <w:b/>
          <w:sz w:val="24"/>
          <w:szCs w:val="24"/>
          <w:lang w:val="es-VE"/>
        </w:rPr>
        <w:t>Interrogante del bloque actual</w:t>
      </w:r>
      <w:r w:rsidRPr="00A316C6">
        <w:rPr>
          <w:rFonts w:ascii="Times New Roman" w:eastAsia="Calibri" w:hAnsi="Times New Roman" w:cs="Times New Roman"/>
          <w:sz w:val="24"/>
          <w:szCs w:val="24"/>
          <w:lang w:val="es-VE"/>
        </w:rPr>
        <w:t xml:space="preserve">: </w:t>
      </w:r>
      <w:r w:rsidR="003D1D8D" w:rsidRPr="00A316C6">
        <w:rPr>
          <w:rFonts w:ascii="Times New Roman" w:eastAsia="Calibri" w:hAnsi="Times New Roman" w:cs="Times New Roman"/>
          <w:bCs/>
          <w:sz w:val="24"/>
          <w:szCs w:val="24"/>
          <w:lang w:val="es-VE"/>
        </w:rPr>
        <w:t xml:space="preserve">En pacientes portadores de prótesis valvulares (biológica o mecánica), ¿La administración de inhibidores directos del factor </w:t>
      </w:r>
      <w:proofErr w:type="spellStart"/>
      <w:r w:rsidR="003D1D8D" w:rsidRPr="00A316C6">
        <w:rPr>
          <w:rFonts w:ascii="Times New Roman" w:eastAsia="Calibri" w:hAnsi="Times New Roman" w:cs="Times New Roman"/>
          <w:bCs/>
          <w:sz w:val="24"/>
          <w:szCs w:val="24"/>
          <w:lang w:val="es-VE"/>
        </w:rPr>
        <w:t>Xa</w:t>
      </w:r>
      <w:proofErr w:type="spellEnd"/>
      <w:r w:rsidR="003D1D8D" w:rsidRPr="00A316C6">
        <w:rPr>
          <w:rFonts w:ascii="Times New Roman" w:eastAsia="Calibri" w:hAnsi="Times New Roman" w:cs="Times New Roman"/>
          <w:bCs/>
          <w:sz w:val="24"/>
          <w:szCs w:val="24"/>
          <w:lang w:val="es-VE"/>
        </w:rPr>
        <w:t xml:space="preserve"> reduce la presencia de eventos </w:t>
      </w:r>
      <w:proofErr w:type="spellStart"/>
      <w:r w:rsidR="003D1D8D" w:rsidRPr="00A316C6">
        <w:rPr>
          <w:rFonts w:ascii="Times New Roman" w:eastAsia="Calibri" w:hAnsi="Times New Roman" w:cs="Times New Roman"/>
          <w:bCs/>
          <w:sz w:val="24"/>
          <w:szCs w:val="24"/>
          <w:lang w:val="es-VE"/>
        </w:rPr>
        <w:t>trombóticos</w:t>
      </w:r>
      <w:proofErr w:type="spellEnd"/>
      <w:r w:rsidR="003D1D8D" w:rsidRPr="00A316C6">
        <w:rPr>
          <w:rFonts w:ascii="Times New Roman" w:eastAsia="Calibri" w:hAnsi="Times New Roman" w:cs="Times New Roman"/>
          <w:bCs/>
          <w:sz w:val="24"/>
          <w:szCs w:val="24"/>
          <w:lang w:val="es-VE"/>
        </w:rPr>
        <w:t xml:space="preserve">, en comparación con los antagonistas de la vitamina </w:t>
      </w:r>
      <w:proofErr w:type="gramStart"/>
      <w:r w:rsidR="00A316C6" w:rsidRPr="00A316C6">
        <w:rPr>
          <w:rFonts w:ascii="Times New Roman" w:eastAsia="Calibri" w:hAnsi="Times New Roman" w:cs="Times New Roman"/>
          <w:bCs/>
          <w:sz w:val="24"/>
          <w:szCs w:val="24"/>
          <w:lang w:val="es-VE"/>
        </w:rPr>
        <w:t>K?</w:t>
      </w:r>
      <w:r w:rsidR="00A316C6">
        <w:rPr>
          <w:rFonts w:ascii="Times New Roman" w:eastAsia="Calibri" w:hAnsi="Times New Roman" w:cs="Times New Roman"/>
          <w:bCs/>
          <w:sz w:val="24"/>
          <w:szCs w:val="24"/>
          <w:lang w:val="es-VE"/>
        </w:rPr>
        <w:t>.</w:t>
      </w:r>
      <w:proofErr w:type="gramEnd"/>
    </w:p>
    <w:p w:rsidR="00525A77" w:rsidRPr="00A316C6" w:rsidRDefault="00525A77" w:rsidP="00525A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VE"/>
        </w:rPr>
      </w:pPr>
      <w:r w:rsidRPr="00A316C6">
        <w:rPr>
          <w:rFonts w:ascii="Times New Roman" w:eastAsia="Calibri" w:hAnsi="Times New Roman" w:cs="Times New Roman"/>
          <w:b/>
          <w:sz w:val="24"/>
          <w:szCs w:val="24"/>
          <w:lang w:val="es-VE"/>
        </w:rPr>
        <w:t xml:space="preserve">Área de revisión: </w:t>
      </w:r>
      <w:r w:rsidR="008069A1" w:rsidRPr="00A316C6">
        <w:rPr>
          <w:rFonts w:ascii="Times New Roman" w:eastAsia="Calibri" w:hAnsi="Times New Roman" w:cs="Times New Roman"/>
          <w:sz w:val="24"/>
          <w:szCs w:val="24"/>
          <w:lang w:val="es-VE"/>
        </w:rPr>
        <w:t>Patología valvular.</w:t>
      </w:r>
    </w:p>
    <w:p w:rsidR="00525A77" w:rsidRPr="00A316C6" w:rsidRDefault="00525A77" w:rsidP="00A316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16C6">
        <w:rPr>
          <w:rFonts w:ascii="Times New Roman" w:hAnsi="Times New Roman" w:cs="Times New Roman"/>
          <w:b/>
          <w:sz w:val="24"/>
          <w:szCs w:val="24"/>
          <w:lang w:val="en-US"/>
        </w:rPr>
        <w:t>Estudio</w:t>
      </w:r>
      <w:proofErr w:type="spellEnd"/>
      <w:r w:rsidRPr="00A316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A316C6">
        <w:rPr>
          <w:rFonts w:ascii="Times New Roman" w:hAnsi="Times New Roman" w:cs="Times New Roman"/>
          <w:b/>
          <w:sz w:val="24"/>
          <w:szCs w:val="24"/>
          <w:lang w:val="en-US"/>
        </w:rPr>
        <w:t>revisión</w:t>
      </w:r>
      <w:proofErr w:type="spellEnd"/>
      <w:r w:rsidRPr="00A316C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A316C6" w:rsidRPr="00A316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316C6" w:rsidRPr="00A316C6">
        <w:rPr>
          <w:rFonts w:ascii="Times New Roman" w:hAnsi="Times New Roman" w:cs="Times New Roman"/>
          <w:sz w:val="24"/>
          <w:szCs w:val="24"/>
          <w:lang w:val="en-US"/>
        </w:rPr>
        <w:t xml:space="preserve">Safety and Efficacy of Novel Oral Anticoagulants Versus Warfarin in Medicare Beneficiaries </w:t>
      </w:r>
      <w:proofErr w:type="gramStart"/>
      <w:r w:rsidR="00A316C6" w:rsidRPr="00A316C6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="00A316C6" w:rsidRPr="00A316C6">
        <w:rPr>
          <w:rFonts w:ascii="Times New Roman" w:hAnsi="Times New Roman" w:cs="Times New Roman"/>
          <w:sz w:val="24"/>
          <w:szCs w:val="24"/>
          <w:lang w:val="en-US"/>
        </w:rPr>
        <w:t xml:space="preserve"> Atrial Fibrillation and </w:t>
      </w:r>
      <w:proofErr w:type="spellStart"/>
      <w:r w:rsidR="00A316C6" w:rsidRPr="00A316C6">
        <w:rPr>
          <w:rFonts w:ascii="Times New Roman" w:hAnsi="Times New Roman" w:cs="Times New Roman"/>
          <w:sz w:val="24"/>
          <w:szCs w:val="24"/>
          <w:lang w:val="en-US"/>
        </w:rPr>
        <w:t>Valvular</w:t>
      </w:r>
      <w:proofErr w:type="spellEnd"/>
      <w:r w:rsidR="00A316C6" w:rsidRPr="00A316C6">
        <w:rPr>
          <w:rFonts w:ascii="Times New Roman" w:hAnsi="Times New Roman" w:cs="Times New Roman"/>
          <w:sz w:val="24"/>
          <w:szCs w:val="24"/>
          <w:lang w:val="en-US"/>
        </w:rPr>
        <w:t xml:space="preserve"> Heart Disease</w:t>
      </w:r>
      <w:r w:rsidR="00A316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25A77" w:rsidRDefault="003D1D8D" w:rsidP="003D1D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VE"/>
        </w:rPr>
      </w:pPr>
      <w:r>
        <w:rPr>
          <w:rFonts w:ascii="Calibri" w:eastAsia="Calibri" w:hAnsi="Calibri" w:cs="Times New Roman"/>
          <w:noProof/>
          <w:lang w:val="en-US"/>
        </w:rPr>
        <w:drawing>
          <wp:inline distT="0" distB="0" distL="0" distR="0">
            <wp:extent cx="5391150" cy="19335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A77" w:rsidRDefault="00525A77" w:rsidP="00525A77">
      <w:pPr>
        <w:jc w:val="both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:rsidR="00525A77" w:rsidRPr="0053084C" w:rsidRDefault="00525A77" w:rsidP="00525A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3084C">
        <w:rPr>
          <w:rFonts w:ascii="Times New Roman" w:eastAsia="Calibri" w:hAnsi="Times New Roman" w:cs="Times New Roman"/>
          <w:b/>
          <w:sz w:val="24"/>
          <w:szCs w:val="24"/>
          <w:lang w:val="es-VE"/>
        </w:rPr>
        <w:t>Tipo de estudio:</w:t>
      </w:r>
      <w:r w:rsidR="00BE10ED" w:rsidRPr="0053084C">
        <w:rPr>
          <w:rFonts w:ascii="Times New Roman" w:eastAsia="Calibri" w:hAnsi="Times New Roman" w:cs="Times New Roman"/>
          <w:b/>
          <w:sz w:val="24"/>
          <w:szCs w:val="24"/>
          <w:lang w:val="es-VE"/>
        </w:rPr>
        <w:t xml:space="preserve"> </w:t>
      </w:r>
      <w:r w:rsidR="003D1D8D" w:rsidRPr="0053084C">
        <w:rPr>
          <w:rFonts w:ascii="Times New Roman" w:eastAsia="Calibri" w:hAnsi="Times New Roman" w:cs="Times New Roman"/>
          <w:sz w:val="24"/>
          <w:szCs w:val="24"/>
          <w:lang w:val="es-VE"/>
        </w:rPr>
        <w:t>Observacional.</w:t>
      </w:r>
      <w:r w:rsidR="003D1D8D" w:rsidRPr="0053084C">
        <w:rPr>
          <w:rFonts w:ascii="Times New Roman" w:eastAsia="Calibri" w:hAnsi="Times New Roman" w:cs="Times New Roman"/>
          <w:b/>
          <w:sz w:val="24"/>
          <w:szCs w:val="24"/>
          <w:lang w:val="es-VE"/>
        </w:rPr>
        <w:t xml:space="preserve"> </w:t>
      </w:r>
      <w:proofErr w:type="spellStart"/>
      <w:r w:rsidRPr="005308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Año</w:t>
      </w:r>
      <w:proofErr w:type="spellEnd"/>
      <w:r w:rsidRPr="0053084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5308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publicación</w:t>
      </w:r>
      <w:proofErr w:type="spellEnd"/>
      <w:r w:rsidRPr="005308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="00BE10ED" w:rsidRPr="005308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316C6" w:rsidRPr="0053084C">
        <w:rPr>
          <w:rFonts w:ascii="Times New Roman" w:eastAsia="Calibri" w:hAnsi="Times New Roman" w:cs="Times New Roman"/>
          <w:sz w:val="24"/>
          <w:szCs w:val="24"/>
          <w:lang w:val="en-US"/>
        </w:rPr>
        <w:t>2018</w:t>
      </w:r>
      <w:r w:rsidRPr="005308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08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Revista</w:t>
      </w:r>
      <w:proofErr w:type="spellEnd"/>
      <w:r w:rsidRPr="005308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="00A316C6" w:rsidRPr="0053084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A316C6" w:rsidRPr="0053084C">
        <w:rPr>
          <w:rFonts w:ascii="Times New Roman" w:eastAsia="Calibri" w:hAnsi="Times New Roman" w:cs="Times New Roman"/>
          <w:sz w:val="24"/>
          <w:szCs w:val="24"/>
          <w:lang w:val="en-US"/>
        </w:rPr>
        <w:t>Journal of the American Heart Association.</w:t>
      </w:r>
    </w:p>
    <w:p w:rsidR="00525A77" w:rsidRPr="0053084C" w:rsidRDefault="00525A77" w:rsidP="00525A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25A77" w:rsidRPr="0053084C" w:rsidRDefault="00525A77" w:rsidP="00525A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84C">
        <w:rPr>
          <w:rFonts w:ascii="Times New Roman" w:hAnsi="Times New Roman" w:cs="Times New Roman"/>
          <w:b/>
          <w:sz w:val="24"/>
          <w:szCs w:val="24"/>
        </w:rPr>
        <w:t>Aportes del grupo:</w:t>
      </w:r>
    </w:p>
    <w:p w:rsidR="00000000" w:rsidRPr="0053084C" w:rsidRDefault="003D1D8D" w:rsidP="0053084C">
      <w:pPr>
        <w:pStyle w:val="Prrafodelist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es-VE"/>
        </w:rPr>
      </w:pPr>
      <w:r w:rsidRPr="0053084C">
        <w:rPr>
          <w:rFonts w:ascii="Times New Roman" w:eastAsia="Calibri" w:hAnsi="Times New Roman" w:cs="Times New Roman"/>
          <w:bCs/>
          <w:sz w:val="24"/>
          <w:szCs w:val="24"/>
          <w:lang w:val="es-VE"/>
        </w:rPr>
        <w:t xml:space="preserve">En primer lugar, el </w:t>
      </w:r>
      <w:r w:rsidR="0053084C" w:rsidRPr="0053084C">
        <w:rPr>
          <w:rFonts w:ascii="Times New Roman" w:eastAsia="Calibri" w:hAnsi="Times New Roman" w:cs="Times New Roman"/>
          <w:bCs/>
          <w:sz w:val="24"/>
          <w:szCs w:val="24"/>
          <w:lang w:val="es-VE"/>
        </w:rPr>
        <w:t>artículo</w:t>
      </w:r>
      <w:r w:rsidRPr="0053084C">
        <w:rPr>
          <w:rFonts w:ascii="Times New Roman" w:eastAsia="Calibri" w:hAnsi="Times New Roman" w:cs="Times New Roman"/>
          <w:bCs/>
          <w:sz w:val="24"/>
          <w:szCs w:val="24"/>
          <w:lang w:val="es-VE"/>
        </w:rPr>
        <w:t xml:space="preserve"> no responde a la interrogante de ciclo, dado a que excluye pacientes con </w:t>
      </w:r>
      <w:r w:rsidR="0053084C" w:rsidRPr="0053084C">
        <w:rPr>
          <w:rFonts w:ascii="Times New Roman" w:eastAsia="Calibri" w:hAnsi="Times New Roman" w:cs="Times New Roman"/>
          <w:bCs/>
          <w:sz w:val="24"/>
          <w:szCs w:val="24"/>
          <w:lang w:val="es-VE"/>
        </w:rPr>
        <w:t>prótesis</w:t>
      </w:r>
      <w:r w:rsidRPr="0053084C">
        <w:rPr>
          <w:rFonts w:ascii="Times New Roman" w:eastAsia="Calibri" w:hAnsi="Times New Roman" w:cs="Times New Roman"/>
          <w:bCs/>
          <w:sz w:val="24"/>
          <w:szCs w:val="24"/>
          <w:lang w:val="es-VE"/>
        </w:rPr>
        <w:t xml:space="preserve"> valvulares.</w:t>
      </w:r>
    </w:p>
    <w:p w:rsidR="00000000" w:rsidRPr="0053084C" w:rsidRDefault="003D1D8D" w:rsidP="0053084C">
      <w:pPr>
        <w:pStyle w:val="Prrafodelist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es-VE"/>
        </w:rPr>
      </w:pPr>
      <w:r w:rsidRPr="0053084C">
        <w:rPr>
          <w:rFonts w:ascii="Times New Roman" w:eastAsia="Calibri" w:hAnsi="Times New Roman" w:cs="Times New Roman"/>
          <w:bCs/>
          <w:sz w:val="24"/>
          <w:szCs w:val="24"/>
          <w:lang w:val="es-VE"/>
        </w:rPr>
        <w:lastRenderedPageBreak/>
        <w:t>Segundo, debido a la naturaleza observacional del estudio, es imposible descartar que los factores de confusión no medidos pudieran haber afectado los resultados, a pesar del análisis de propensión al emparejamiento.</w:t>
      </w:r>
    </w:p>
    <w:p w:rsidR="00000000" w:rsidRPr="0053084C" w:rsidRDefault="003D1D8D" w:rsidP="0053084C">
      <w:pPr>
        <w:pStyle w:val="Prrafodelist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es-VE"/>
        </w:rPr>
      </w:pPr>
      <w:r w:rsidRPr="0053084C">
        <w:rPr>
          <w:rFonts w:ascii="Times New Roman" w:eastAsia="Calibri" w:hAnsi="Times New Roman" w:cs="Times New Roman"/>
          <w:bCs/>
          <w:sz w:val="24"/>
          <w:szCs w:val="24"/>
          <w:lang w:val="es-VE"/>
        </w:rPr>
        <w:t>En tercer lugar, la FA y la EVC se identificaron mediante los códigos CIE‐9, y no está clara la confiabilidad de los códigos de los mismos en la EVC.</w:t>
      </w:r>
    </w:p>
    <w:p w:rsidR="00000000" w:rsidRPr="0053084C" w:rsidRDefault="003D1D8D" w:rsidP="0053084C">
      <w:pPr>
        <w:pStyle w:val="Prrafodelist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es-VE"/>
        </w:rPr>
      </w:pPr>
      <w:r w:rsidRPr="0053084C">
        <w:rPr>
          <w:rFonts w:ascii="Times New Roman" w:eastAsia="Calibri" w:hAnsi="Times New Roman" w:cs="Times New Roman"/>
          <w:bCs/>
          <w:sz w:val="24"/>
          <w:szCs w:val="24"/>
          <w:lang w:val="es-VE"/>
        </w:rPr>
        <w:t>El análisis incluyó pacientes mayores de 65 años y es posible que los resultados no se puedan generalizar a pacientes más jóvenes.</w:t>
      </w:r>
    </w:p>
    <w:p w:rsidR="00000000" w:rsidRPr="0053084C" w:rsidRDefault="003D1D8D" w:rsidP="0053084C">
      <w:pPr>
        <w:pStyle w:val="Prrafodelist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es-VE"/>
        </w:rPr>
      </w:pPr>
      <w:r w:rsidRPr="0053084C">
        <w:rPr>
          <w:rFonts w:ascii="Times New Roman" w:eastAsia="Calibri" w:hAnsi="Times New Roman" w:cs="Times New Roman"/>
          <w:bCs/>
          <w:sz w:val="24"/>
          <w:szCs w:val="24"/>
          <w:lang w:val="es-VE"/>
        </w:rPr>
        <w:t>Además, no se estratificaron a los pacientes que tomaban DOAC ajustados a su función renal.</w:t>
      </w:r>
    </w:p>
    <w:p w:rsidR="00525A77" w:rsidRPr="0053084C" w:rsidRDefault="003D1D8D" w:rsidP="0053084C">
      <w:pPr>
        <w:pStyle w:val="Prrafodelist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es-VE"/>
        </w:rPr>
      </w:pPr>
      <w:r w:rsidRPr="0053084C">
        <w:rPr>
          <w:rFonts w:ascii="Times New Roman" w:eastAsia="Calibri" w:hAnsi="Times New Roman" w:cs="Times New Roman"/>
          <w:bCs/>
          <w:sz w:val="24"/>
          <w:szCs w:val="24"/>
          <w:lang w:val="es-VE"/>
        </w:rPr>
        <w:t>Se carece de evidencia detallada sobre el tiempo en el rango terapéutico de AVK, la carga de FA y la gravedad de la EVC.</w:t>
      </w:r>
    </w:p>
    <w:p w:rsidR="00525A77" w:rsidRPr="0053084C" w:rsidRDefault="00525A77" w:rsidP="00525A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084C">
        <w:rPr>
          <w:rFonts w:ascii="Times New Roman" w:hAnsi="Times New Roman" w:cs="Times New Roman"/>
          <w:b/>
          <w:sz w:val="24"/>
          <w:szCs w:val="24"/>
        </w:rPr>
        <w:t>Sugerencias realizadas durante la presentación:</w:t>
      </w:r>
    </w:p>
    <w:p w:rsidR="00BE10ED" w:rsidRPr="009661D7" w:rsidRDefault="00525A77" w:rsidP="009661D7">
      <w:pPr>
        <w:pStyle w:val="Prrafodelist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D7">
        <w:rPr>
          <w:rFonts w:ascii="Times New Roman" w:hAnsi="Times New Roman" w:cs="Times New Roman"/>
          <w:sz w:val="24"/>
          <w:szCs w:val="24"/>
        </w:rPr>
        <w:t>La</w:t>
      </w:r>
      <w:r w:rsidRPr="009661D7">
        <w:rPr>
          <w:rFonts w:ascii="Times New Roman" w:eastAsia="Calibri" w:hAnsi="Times New Roman" w:cs="Times New Roman"/>
          <w:sz w:val="24"/>
          <w:szCs w:val="24"/>
        </w:rPr>
        <w:t xml:space="preserve"> Dra. Infa</w:t>
      </w:r>
      <w:r w:rsidR="00BE10ED" w:rsidRPr="009661D7">
        <w:rPr>
          <w:rFonts w:ascii="Times New Roman" w:eastAsia="Calibri" w:hAnsi="Times New Roman" w:cs="Times New Roman"/>
          <w:sz w:val="24"/>
          <w:szCs w:val="24"/>
        </w:rPr>
        <w:t>nte realiza la siguiente pregunta: para entender la propensión</w:t>
      </w:r>
      <w:r w:rsidR="00A2339B" w:rsidRPr="009661D7">
        <w:rPr>
          <w:rFonts w:ascii="Times New Roman" w:eastAsia="Calibri" w:hAnsi="Times New Roman" w:cs="Times New Roman"/>
          <w:sz w:val="24"/>
          <w:szCs w:val="24"/>
        </w:rPr>
        <w:t>,</w:t>
      </w:r>
      <w:r w:rsidR="00BE10ED" w:rsidRPr="009661D7">
        <w:rPr>
          <w:rFonts w:ascii="Times New Roman" w:eastAsia="Calibri" w:hAnsi="Times New Roman" w:cs="Times New Roman"/>
          <w:sz w:val="24"/>
          <w:szCs w:val="24"/>
        </w:rPr>
        <w:t xml:space="preserve"> diga un ejemplo en cuanto a las comorbilidades</w:t>
      </w:r>
      <w:r w:rsidR="00A2339B" w:rsidRPr="00966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10ED" w:rsidRPr="009661D7">
        <w:rPr>
          <w:rFonts w:ascii="Times New Roman" w:eastAsia="Calibri" w:hAnsi="Times New Roman" w:cs="Times New Roman"/>
          <w:sz w:val="24"/>
          <w:szCs w:val="24"/>
        </w:rPr>
        <w:t>de las características basales</w:t>
      </w:r>
      <w:r w:rsidR="00A2339B" w:rsidRPr="009661D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9661D7">
        <w:rPr>
          <w:rFonts w:ascii="Times New Roman" w:eastAsia="Calibri" w:hAnsi="Times New Roman" w:cs="Times New Roman"/>
          <w:sz w:val="24"/>
          <w:szCs w:val="24"/>
        </w:rPr>
        <w:t>¿</w:t>
      </w:r>
      <w:r w:rsidR="00A2339B" w:rsidRPr="009661D7">
        <w:rPr>
          <w:rFonts w:ascii="Times New Roman" w:eastAsia="Calibri" w:hAnsi="Times New Roman" w:cs="Times New Roman"/>
          <w:sz w:val="24"/>
          <w:szCs w:val="24"/>
        </w:rPr>
        <w:t>c</w:t>
      </w:r>
      <w:r w:rsidR="009661D7">
        <w:rPr>
          <w:rFonts w:ascii="Times New Roman" w:eastAsia="Calibri" w:hAnsi="Times New Roman" w:cs="Times New Roman"/>
          <w:sz w:val="24"/>
          <w:szCs w:val="24"/>
        </w:rPr>
        <w:t>ó</w:t>
      </w:r>
      <w:r w:rsidR="00A2339B" w:rsidRPr="009661D7">
        <w:rPr>
          <w:rFonts w:ascii="Times New Roman" w:eastAsia="Calibri" w:hAnsi="Times New Roman" w:cs="Times New Roman"/>
          <w:sz w:val="24"/>
          <w:szCs w:val="24"/>
        </w:rPr>
        <w:t xml:space="preserve">mo hacen esta propensión para poder obtener resultados exactos </w:t>
      </w:r>
      <w:r w:rsidR="00BE10ED" w:rsidRPr="009661D7">
        <w:rPr>
          <w:rFonts w:ascii="Times New Roman" w:eastAsia="Calibri" w:hAnsi="Times New Roman" w:cs="Times New Roman"/>
          <w:sz w:val="24"/>
          <w:szCs w:val="24"/>
        </w:rPr>
        <w:t>de aparejamiento</w:t>
      </w:r>
      <w:r w:rsidR="009661D7">
        <w:rPr>
          <w:rFonts w:ascii="Times New Roman" w:eastAsia="Calibri" w:hAnsi="Times New Roman" w:cs="Times New Roman"/>
          <w:sz w:val="24"/>
          <w:szCs w:val="24"/>
        </w:rPr>
        <w:t xml:space="preserve"> 1:1</w:t>
      </w:r>
      <w:r w:rsidR="005531ED">
        <w:rPr>
          <w:rFonts w:ascii="Times New Roman" w:eastAsia="Calibri" w:hAnsi="Times New Roman" w:cs="Times New Roman"/>
          <w:sz w:val="24"/>
          <w:szCs w:val="24"/>
        </w:rPr>
        <w:t>?</w:t>
      </w:r>
      <w:r w:rsidR="00A2339B" w:rsidRPr="009661D7">
        <w:rPr>
          <w:rFonts w:ascii="Times New Roman" w:eastAsia="Calibri" w:hAnsi="Times New Roman" w:cs="Times New Roman"/>
          <w:sz w:val="24"/>
          <w:szCs w:val="24"/>
        </w:rPr>
        <w:t>,</w:t>
      </w:r>
      <w:r w:rsidR="005531ED">
        <w:rPr>
          <w:rFonts w:ascii="Times New Roman" w:eastAsia="Calibri" w:hAnsi="Times New Roman" w:cs="Times New Roman"/>
          <w:sz w:val="24"/>
          <w:szCs w:val="24"/>
        </w:rPr>
        <w:t xml:space="preserve"> ya que</w:t>
      </w:r>
      <w:r w:rsidR="00A2339B" w:rsidRPr="009661D7">
        <w:rPr>
          <w:rFonts w:ascii="Times New Roman" w:eastAsia="Calibri" w:hAnsi="Times New Roman" w:cs="Times New Roman"/>
          <w:sz w:val="24"/>
          <w:szCs w:val="24"/>
        </w:rPr>
        <w:t xml:space="preserve"> para el emparejamiento los resultados deben ser muy parecidos.</w:t>
      </w:r>
    </w:p>
    <w:p w:rsidR="00D254C3" w:rsidRPr="009661D7" w:rsidRDefault="00AD534C" w:rsidP="009661D7">
      <w:pPr>
        <w:pStyle w:val="Prrafodelist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D7">
        <w:rPr>
          <w:rFonts w:ascii="Times New Roman" w:eastAsia="Calibri" w:hAnsi="Times New Roman" w:cs="Times New Roman"/>
          <w:sz w:val="24"/>
          <w:szCs w:val="24"/>
        </w:rPr>
        <w:t>La Dra. Infante a</w:t>
      </w:r>
      <w:r w:rsidR="005531ED">
        <w:rPr>
          <w:rFonts w:ascii="Times New Roman" w:eastAsia="Calibri" w:hAnsi="Times New Roman" w:cs="Times New Roman"/>
          <w:sz w:val="24"/>
          <w:szCs w:val="24"/>
        </w:rPr>
        <w:t>porta con respecto a la tabla nú</w:t>
      </w:r>
      <w:r w:rsidRPr="009661D7">
        <w:rPr>
          <w:rFonts w:ascii="Times New Roman" w:eastAsia="Calibri" w:hAnsi="Times New Roman" w:cs="Times New Roman"/>
          <w:sz w:val="24"/>
          <w:szCs w:val="24"/>
        </w:rPr>
        <w:t>mero 2</w:t>
      </w:r>
      <w:r w:rsidR="00D254C3" w:rsidRPr="009661D7">
        <w:rPr>
          <w:rFonts w:ascii="Times New Roman" w:eastAsia="Calibri" w:hAnsi="Times New Roman" w:cs="Times New Roman"/>
          <w:sz w:val="24"/>
          <w:szCs w:val="24"/>
        </w:rPr>
        <w:t xml:space="preserve">: los pacientes con enfermedad valvular cardiaca tienen </w:t>
      </w:r>
      <w:r w:rsidRPr="009661D7">
        <w:rPr>
          <w:rFonts w:ascii="Times New Roman" w:eastAsia="Calibri" w:hAnsi="Times New Roman" w:cs="Times New Roman"/>
          <w:sz w:val="24"/>
          <w:szCs w:val="24"/>
        </w:rPr>
        <w:t>más</w:t>
      </w:r>
      <w:r w:rsidR="00D254C3" w:rsidRPr="009661D7">
        <w:rPr>
          <w:rFonts w:ascii="Times New Roman" w:eastAsia="Calibri" w:hAnsi="Times New Roman" w:cs="Times New Roman"/>
          <w:sz w:val="24"/>
          <w:szCs w:val="24"/>
        </w:rPr>
        <w:t xml:space="preserve"> comorbilidades, sin </w:t>
      </w:r>
      <w:r w:rsidRPr="009661D7">
        <w:rPr>
          <w:rFonts w:ascii="Times New Roman" w:eastAsia="Calibri" w:hAnsi="Times New Roman" w:cs="Times New Roman"/>
          <w:sz w:val="24"/>
          <w:szCs w:val="24"/>
        </w:rPr>
        <w:t>embargo</w:t>
      </w:r>
      <w:r w:rsidR="00D254C3" w:rsidRPr="009661D7">
        <w:rPr>
          <w:rFonts w:ascii="Times New Roman" w:eastAsia="Calibri" w:hAnsi="Times New Roman" w:cs="Times New Roman"/>
          <w:sz w:val="24"/>
          <w:szCs w:val="24"/>
        </w:rPr>
        <w:t>, cuando se comparan ambos grupos son comparables</w:t>
      </w:r>
      <w:r w:rsidRPr="009661D7">
        <w:rPr>
          <w:rFonts w:ascii="Times New Roman" w:eastAsia="Calibri" w:hAnsi="Times New Roman" w:cs="Times New Roman"/>
          <w:sz w:val="24"/>
          <w:szCs w:val="24"/>
        </w:rPr>
        <w:t xml:space="preserve">, son </w:t>
      </w:r>
      <w:r w:rsidR="006F3A8D" w:rsidRPr="009661D7">
        <w:rPr>
          <w:rFonts w:ascii="Times New Roman" w:eastAsia="Calibri" w:hAnsi="Times New Roman" w:cs="Times New Roman"/>
          <w:sz w:val="24"/>
          <w:szCs w:val="24"/>
        </w:rPr>
        <w:t>homólogos</w:t>
      </w:r>
      <w:r w:rsidRPr="009661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65D6" w:rsidRPr="009661D7" w:rsidRDefault="00BE10ED" w:rsidP="009661D7">
      <w:pPr>
        <w:pStyle w:val="Prrafodelist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D7">
        <w:rPr>
          <w:rFonts w:ascii="Times New Roman" w:eastAsia="Calibri" w:hAnsi="Times New Roman" w:cs="Times New Roman"/>
          <w:sz w:val="24"/>
          <w:szCs w:val="24"/>
        </w:rPr>
        <w:t>La Dra. Mari</w:t>
      </w:r>
      <w:r w:rsidR="005531ED">
        <w:rPr>
          <w:rFonts w:ascii="Times New Roman" w:eastAsia="Calibri" w:hAnsi="Times New Roman" w:cs="Times New Roman"/>
          <w:sz w:val="24"/>
          <w:szCs w:val="24"/>
        </w:rPr>
        <w:t>a</w:t>
      </w:r>
      <w:r w:rsidRPr="009661D7">
        <w:rPr>
          <w:rFonts w:ascii="Times New Roman" w:eastAsia="Calibri" w:hAnsi="Times New Roman" w:cs="Times New Roman"/>
          <w:sz w:val="24"/>
          <w:szCs w:val="24"/>
        </w:rPr>
        <w:t>nela realiza la siguiente pregunta</w:t>
      </w:r>
      <w:r w:rsidR="00AD534C" w:rsidRPr="009661D7">
        <w:rPr>
          <w:rFonts w:ascii="Times New Roman" w:eastAsia="Calibri" w:hAnsi="Times New Roman" w:cs="Times New Roman"/>
          <w:sz w:val="24"/>
          <w:szCs w:val="24"/>
        </w:rPr>
        <w:t xml:space="preserve"> con respecto a la tabla numero 2</w:t>
      </w:r>
      <w:r w:rsidRPr="009661D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95A0A" w:rsidRPr="009661D7">
        <w:rPr>
          <w:rFonts w:ascii="Times New Roman" w:eastAsia="Calibri" w:hAnsi="Times New Roman" w:cs="Times New Roman"/>
          <w:sz w:val="24"/>
          <w:szCs w:val="24"/>
        </w:rPr>
        <w:t>¿Por qué ha</w:t>
      </w:r>
      <w:r w:rsidR="005531ED">
        <w:rPr>
          <w:rFonts w:ascii="Times New Roman" w:eastAsia="Calibri" w:hAnsi="Times New Roman" w:cs="Times New Roman"/>
          <w:sz w:val="24"/>
          <w:szCs w:val="24"/>
        </w:rPr>
        <w:t>y</w:t>
      </w:r>
      <w:r w:rsidR="00E95A0A" w:rsidRPr="009661D7">
        <w:rPr>
          <w:rFonts w:ascii="Times New Roman" w:eastAsia="Calibri" w:hAnsi="Times New Roman" w:cs="Times New Roman"/>
          <w:sz w:val="24"/>
          <w:szCs w:val="24"/>
        </w:rPr>
        <w:t xml:space="preserve"> valores negativos?</w:t>
      </w:r>
      <w:r w:rsidR="006F3A8D" w:rsidRPr="009661D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25A77" w:rsidRPr="009661D7" w:rsidRDefault="00D765D6" w:rsidP="009661D7">
      <w:pPr>
        <w:pStyle w:val="Prrafodelist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D7">
        <w:rPr>
          <w:rFonts w:ascii="Times New Roman" w:eastAsia="Calibri" w:hAnsi="Times New Roman" w:cs="Times New Roman"/>
          <w:sz w:val="24"/>
          <w:szCs w:val="24"/>
        </w:rPr>
        <w:t>-E</w:t>
      </w:r>
      <w:r w:rsidR="006F3A8D" w:rsidRPr="009661D7">
        <w:rPr>
          <w:rFonts w:ascii="Times New Roman" w:eastAsia="Calibri" w:hAnsi="Times New Roman" w:cs="Times New Roman"/>
          <w:sz w:val="24"/>
          <w:szCs w:val="24"/>
        </w:rPr>
        <w:t>l Dr</w:t>
      </w:r>
      <w:r w:rsidR="005C2EE8" w:rsidRPr="009661D7">
        <w:rPr>
          <w:rFonts w:ascii="Times New Roman" w:eastAsia="Calibri" w:hAnsi="Times New Roman" w:cs="Times New Roman"/>
          <w:sz w:val="24"/>
          <w:szCs w:val="24"/>
        </w:rPr>
        <w:t>.</w:t>
      </w:r>
      <w:r w:rsidR="006F3A8D" w:rsidRPr="009661D7">
        <w:rPr>
          <w:rFonts w:ascii="Times New Roman" w:eastAsia="Calibri" w:hAnsi="Times New Roman" w:cs="Times New Roman"/>
          <w:sz w:val="24"/>
          <w:szCs w:val="24"/>
        </w:rPr>
        <w:t xml:space="preserve"> Reinaldo responde que los valores negativos indican que la covarianza en esos pacientes fue mayor en el numerador que el denominador de la </w:t>
      </w:r>
      <w:proofErr w:type="spellStart"/>
      <w:r w:rsidR="006F3A8D" w:rsidRPr="009661D7">
        <w:rPr>
          <w:rFonts w:ascii="Times New Roman" w:eastAsia="Calibri" w:hAnsi="Times New Roman" w:cs="Times New Roman"/>
          <w:sz w:val="24"/>
          <w:szCs w:val="24"/>
        </w:rPr>
        <w:t>covariable</w:t>
      </w:r>
      <w:proofErr w:type="spellEnd"/>
      <w:r w:rsidR="006F3A8D" w:rsidRPr="009661D7">
        <w:rPr>
          <w:rFonts w:ascii="Times New Roman" w:eastAsia="Calibri" w:hAnsi="Times New Roman" w:cs="Times New Roman"/>
          <w:sz w:val="24"/>
          <w:szCs w:val="24"/>
        </w:rPr>
        <w:t>, sin embargo, los valores negativos no indican mayor riesgo.</w:t>
      </w:r>
    </w:p>
    <w:p w:rsidR="00E95A0A" w:rsidRPr="009661D7" w:rsidRDefault="00E95A0A" w:rsidP="009661D7">
      <w:pPr>
        <w:pStyle w:val="Prrafodelist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D7">
        <w:rPr>
          <w:rFonts w:ascii="Times New Roman" w:hAnsi="Times New Roman" w:cs="Times New Roman"/>
          <w:sz w:val="24"/>
          <w:szCs w:val="24"/>
        </w:rPr>
        <w:t>La</w:t>
      </w:r>
      <w:r w:rsidRPr="009661D7">
        <w:rPr>
          <w:rFonts w:ascii="Times New Roman" w:eastAsia="Calibri" w:hAnsi="Times New Roman" w:cs="Times New Roman"/>
          <w:sz w:val="24"/>
          <w:szCs w:val="24"/>
        </w:rPr>
        <w:t xml:space="preserve"> Dra. Infante realiza la siguiente p</w:t>
      </w:r>
      <w:r w:rsidR="005531ED">
        <w:rPr>
          <w:rFonts w:ascii="Times New Roman" w:eastAsia="Calibri" w:hAnsi="Times New Roman" w:cs="Times New Roman"/>
          <w:sz w:val="24"/>
          <w:szCs w:val="24"/>
        </w:rPr>
        <w:t>regunta: en cuanto a la tabla nú</w:t>
      </w:r>
      <w:r w:rsidRPr="009661D7">
        <w:rPr>
          <w:rFonts w:ascii="Times New Roman" w:eastAsia="Calibri" w:hAnsi="Times New Roman" w:cs="Times New Roman"/>
          <w:sz w:val="24"/>
          <w:szCs w:val="24"/>
        </w:rPr>
        <w:t xml:space="preserve">mero 4 luego del emparejamiento; desde el punto de vista de ustedes, </w:t>
      </w:r>
      <w:r w:rsidR="005531ED">
        <w:rPr>
          <w:rFonts w:ascii="Times New Roman" w:eastAsia="Calibri" w:hAnsi="Times New Roman" w:cs="Times New Roman"/>
          <w:sz w:val="24"/>
          <w:szCs w:val="24"/>
        </w:rPr>
        <w:t>¿</w:t>
      </w:r>
      <w:r w:rsidRPr="009661D7">
        <w:rPr>
          <w:rFonts w:ascii="Times New Roman" w:eastAsia="Calibri" w:hAnsi="Times New Roman" w:cs="Times New Roman"/>
          <w:sz w:val="24"/>
          <w:szCs w:val="24"/>
        </w:rPr>
        <w:t xml:space="preserve">cómo es el comportamiento, si estamos evaluando sangrado?, </w:t>
      </w:r>
      <w:r w:rsidR="005531ED">
        <w:rPr>
          <w:rFonts w:ascii="Times New Roman" w:eastAsia="Calibri" w:hAnsi="Times New Roman" w:cs="Times New Roman"/>
          <w:sz w:val="24"/>
          <w:szCs w:val="24"/>
        </w:rPr>
        <w:t>¿</w:t>
      </w:r>
      <w:r w:rsidRPr="009661D7">
        <w:rPr>
          <w:rFonts w:ascii="Times New Roman" w:eastAsia="Calibri" w:hAnsi="Times New Roman" w:cs="Times New Roman"/>
          <w:sz w:val="24"/>
          <w:szCs w:val="24"/>
        </w:rPr>
        <w:t xml:space="preserve">cómo fue el comportamiento </w:t>
      </w:r>
      <w:r w:rsidR="005531ED">
        <w:rPr>
          <w:rFonts w:ascii="Times New Roman" w:eastAsia="Calibri" w:hAnsi="Times New Roman" w:cs="Times New Roman"/>
          <w:sz w:val="24"/>
          <w:szCs w:val="24"/>
        </w:rPr>
        <w:t>en</w:t>
      </w:r>
      <w:r w:rsidRPr="009661D7">
        <w:rPr>
          <w:rFonts w:ascii="Times New Roman" w:eastAsia="Calibri" w:hAnsi="Times New Roman" w:cs="Times New Roman"/>
          <w:sz w:val="24"/>
          <w:szCs w:val="24"/>
        </w:rPr>
        <w:t xml:space="preserve"> el grupo de FA no valvular y FA valvular?</w:t>
      </w:r>
    </w:p>
    <w:p w:rsidR="009171A9" w:rsidRPr="009661D7" w:rsidRDefault="00D765D6" w:rsidP="009661D7">
      <w:pPr>
        <w:pStyle w:val="Prrafodelist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D7">
        <w:rPr>
          <w:rFonts w:ascii="Times New Roman" w:eastAsia="Calibri" w:hAnsi="Times New Roman" w:cs="Times New Roman"/>
          <w:sz w:val="24"/>
          <w:szCs w:val="24"/>
        </w:rPr>
        <w:t>-</w:t>
      </w:r>
      <w:r w:rsidR="004F6464" w:rsidRPr="009661D7">
        <w:rPr>
          <w:rFonts w:ascii="Times New Roman" w:eastAsia="Calibri" w:hAnsi="Times New Roman" w:cs="Times New Roman"/>
          <w:sz w:val="24"/>
          <w:szCs w:val="24"/>
        </w:rPr>
        <w:t xml:space="preserve">El </w:t>
      </w:r>
      <w:proofErr w:type="spellStart"/>
      <w:r w:rsidR="004F6464" w:rsidRPr="009661D7"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 w:rsidR="004F6464" w:rsidRPr="009661D7">
        <w:rPr>
          <w:rFonts w:ascii="Times New Roman" w:eastAsia="Calibri" w:hAnsi="Times New Roman" w:cs="Times New Roman"/>
          <w:sz w:val="24"/>
          <w:szCs w:val="24"/>
        </w:rPr>
        <w:t xml:space="preserve"> Reinaldo responde: </w:t>
      </w:r>
      <w:r w:rsidR="009171A9" w:rsidRPr="009661D7">
        <w:rPr>
          <w:rFonts w:ascii="Times New Roman" w:eastAsia="Calibri" w:hAnsi="Times New Roman" w:cs="Times New Roman"/>
          <w:sz w:val="24"/>
          <w:szCs w:val="24"/>
        </w:rPr>
        <w:t xml:space="preserve">Cuando se </w:t>
      </w:r>
      <w:r w:rsidR="004F6464" w:rsidRPr="009661D7">
        <w:rPr>
          <w:rFonts w:ascii="Times New Roman" w:eastAsia="Calibri" w:hAnsi="Times New Roman" w:cs="Times New Roman"/>
          <w:sz w:val="24"/>
          <w:szCs w:val="24"/>
        </w:rPr>
        <w:t>compara</w:t>
      </w:r>
      <w:r w:rsidR="009171A9" w:rsidRPr="009661D7">
        <w:rPr>
          <w:rFonts w:ascii="Times New Roman" w:eastAsia="Calibri" w:hAnsi="Times New Roman" w:cs="Times New Roman"/>
          <w:sz w:val="24"/>
          <w:szCs w:val="24"/>
        </w:rPr>
        <w:t xml:space="preserve"> FA tanto con enfermedad valvular o sin enfermedad valvular, hubo aumento de la mortalidad por cualquier causa en los pacientes que recibieron warfarina, y cuando se compara</w:t>
      </w:r>
      <w:r w:rsidR="005531ED">
        <w:rPr>
          <w:rFonts w:ascii="Times New Roman" w:eastAsia="Calibri" w:hAnsi="Times New Roman" w:cs="Times New Roman"/>
          <w:sz w:val="24"/>
          <w:szCs w:val="24"/>
        </w:rPr>
        <w:t xml:space="preserve"> quienes presentaron más </w:t>
      </w:r>
      <w:proofErr w:type="spellStart"/>
      <w:r w:rsidR="005531ED">
        <w:rPr>
          <w:rFonts w:ascii="Times New Roman" w:eastAsia="Calibri" w:hAnsi="Times New Roman" w:cs="Times New Roman"/>
          <w:sz w:val="24"/>
          <w:szCs w:val="24"/>
        </w:rPr>
        <w:t>stroke</w:t>
      </w:r>
      <w:proofErr w:type="spellEnd"/>
      <w:r w:rsidR="009171A9" w:rsidRPr="009661D7">
        <w:rPr>
          <w:rFonts w:ascii="Times New Roman" w:eastAsia="Calibri" w:hAnsi="Times New Roman" w:cs="Times New Roman"/>
          <w:sz w:val="24"/>
          <w:szCs w:val="24"/>
        </w:rPr>
        <w:t xml:space="preserve"> se evidencia que la mayor tasa corresponde a la warfarina en el grupo de FA sin enfermedad valvular, y en el grupo con enfermeda</w:t>
      </w:r>
      <w:r w:rsidR="005531ED">
        <w:rPr>
          <w:rFonts w:ascii="Times New Roman" w:eastAsia="Calibri" w:hAnsi="Times New Roman" w:cs="Times New Roman"/>
          <w:sz w:val="24"/>
          <w:szCs w:val="24"/>
        </w:rPr>
        <w:t xml:space="preserve">d valvular fue con el </w:t>
      </w:r>
      <w:proofErr w:type="spellStart"/>
      <w:r w:rsidR="005531ED">
        <w:rPr>
          <w:rFonts w:ascii="Times New Roman" w:eastAsia="Calibri" w:hAnsi="Times New Roman" w:cs="Times New Roman"/>
          <w:sz w:val="24"/>
          <w:szCs w:val="24"/>
        </w:rPr>
        <w:t>rivaroxabán</w:t>
      </w:r>
      <w:proofErr w:type="spellEnd"/>
      <w:r w:rsidR="005531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171A9" w:rsidRPr="009661D7">
        <w:rPr>
          <w:rFonts w:ascii="Times New Roman" w:eastAsia="Calibri" w:hAnsi="Times New Roman" w:cs="Times New Roman"/>
          <w:sz w:val="24"/>
          <w:szCs w:val="24"/>
        </w:rPr>
        <w:t xml:space="preserve">sin embargo, cualquier sangrado </w:t>
      </w:r>
      <w:proofErr w:type="spellStart"/>
      <w:r w:rsidR="009171A9" w:rsidRPr="009661D7">
        <w:rPr>
          <w:rFonts w:ascii="Times New Roman" w:eastAsia="Calibri" w:hAnsi="Times New Roman" w:cs="Times New Roman"/>
          <w:sz w:val="24"/>
          <w:szCs w:val="24"/>
        </w:rPr>
        <w:t>gastroinstetinal</w:t>
      </w:r>
      <w:proofErr w:type="spellEnd"/>
      <w:r w:rsidR="009171A9" w:rsidRPr="009661D7">
        <w:rPr>
          <w:rFonts w:ascii="Times New Roman" w:eastAsia="Calibri" w:hAnsi="Times New Roman" w:cs="Times New Roman"/>
          <w:sz w:val="24"/>
          <w:szCs w:val="24"/>
        </w:rPr>
        <w:t xml:space="preserve"> en ambos g</w:t>
      </w:r>
      <w:r w:rsidR="005531ED">
        <w:rPr>
          <w:rFonts w:ascii="Times New Roman" w:eastAsia="Calibri" w:hAnsi="Times New Roman" w:cs="Times New Roman"/>
          <w:sz w:val="24"/>
          <w:szCs w:val="24"/>
        </w:rPr>
        <w:t xml:space="preserve">rupos fue dado por el </w:t>
      </w:r>
      <w:proofErr w:type="spellStart"/>
      <w:r w:rsidR="005531ED">
        <w:rPr>
          <w:rFonts w:ascii="Times New Roman" w:eastAsia="Calibri" w:hAnsi="Times New Roman" w:cs="Times New Roman"/>
          <w:sz w:val="24"/>
          <w:szCs w:val="24"/>
        </w:rPr>
        <w:t>rivaroxabá</w:t>
      </w:r>
      <w:r w:rsidR="009171A9" w:rsidRPr="009661D7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9171A9" w:rsidRPr="009661D7">
        <w:rPr>
          <w:rFonts w:ascii="Times New Roman" w:eastAsia="Calibri" w:hAnsi="Times New Roman" w:cs="Times New Roman"/>
          <w:sz w:val="24"/>
          <w:szCs w:val="24"/>
        </w:rPr>
        <w:t xml:space="preserve">, mientras que el sangrado presentado por la warfarina es fuera de la esfera gastrointestinal, </w:t>
      </w:r>
      <w:r w:rsidR="005B016D" w:rsidRPr="009661D7">
        <w:rPr>
          <w:rFonts w:ascii="Times New Roman" w:eastAsia="Calibri" w:hAnsi="Times New Roman" w:cs="Times New Roman"/>
          <w:sz w:val="24"/>
          <w:szCs w:val="24"/>
        </w:rPr>
        <w:t>l</w:t>
      </w:r>
      <w:r w:rsidR="009171A9" w:rsidRPr="009661D7">
        <w:rPr>
          <w:rFonts w:ascii="Times New Roman" w:eastAsia="Calibri" w:hAnsi="Times New Roman" w:cs="Times New Roman"/>
          <w:sz w:val="24"/>
          <w:szCs w:val="24"/>
        </w:rPr>
        <w:t>o que quiere decir, que los pacientes que recibieron warfarina t</w:t>
      </w:r>
      <w:r w:rsidR="005531ED">
        <w:rPr>
          <w:rFonts w:ascii="Times New Roman" w:eastAsia="Calibri" w:hAnsi="Times New Roman" w:cs="Times New Roman"/>
          <w:sz w:val="24"/>
          <w:szCs w:val="24"/>
        </w:rPr>
        <w:t xml:space="preserve">uvieron mayor mortalidad y </w:t>
      </w:r>
      <w:proofErr w:type="spellStart"/>
      <w:r w:rsidR="005531ED">
        <w:rPr>
          <w:rFonts w:ascii="Times New Roman" w:eastAsia="Calibri" w:hAnsi="Times New Roman" w:cs="Times New Roman"/>
          <w:sz w:val="24"/>
          <w:szCs w:val="24"/>
        </w:rPr>
        <w:t>stro</w:t>
      </w:r>
      <w:r w:rsidR="009171A9" w:rsidRPr="009661D7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="009171A9" w:rsidRPr="009661D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95A0A" w:rsidRPr="009661D7" w:rsidRDefault="00E95A0A" w:rsidP="009661D7">
      <w:pPr>
        <w:pStyle w:val="Prrafodelist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D7">
        <w:rPr>
          <w:rFonts w:ascii="Times New Roman" w:hAnsi="Times New Roman" w:cs="Times New Roman"/>
          <w:sz w:val="24"/>
          <w:szCs w:val="24"/>
        </w:rPr>
        <w:t>La</w:t>
      </w:r>
      <w:r w:rsidRPr="009661D7">
        <w:rPr>
          <w:rFonts w:ascii="Times New Roman" w:eastAsia="Calibri" w:hAnsi="Times New Roman" w:cs="Times New Roman"/>
          <w:sz w:val="24"/>
          <w:szCs w:val="24"/>
        </w:rPr>
        <w:t xml:space="preserve"> Dra. Infante realiza la siguiente pregunta con respecto a la tabla numero 4: </w:t>
      </w:r>
    </w:p>
    <w:p w:rsidR="00E95A0A" w:rsidRPr="009661D7" w:rsidRDefault="00E95A0A" w:rsidP="009661D7">
      <w:pPr>
        <w:pStyle w:val="Prrafodelist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D7">
        <w:rPr>
          <w:rFonts w:ascii="Times New Roman" w:eastAsia="Calibri" w:hAnsi="Times New Roman" w:cs="Times New Roman"/>
          <w:sz w:val="24"/>
          <w:szCs w:val="24"/>
        </w:rPr>
        <w:t>¿cómo se concluyen los bloques de mortalidad por todas las cusas?</w:t>
      </w:r>
    </w:p>
    <w:p w:rsidR="00AC34DE" w:rsidRPr="009661D7" w:rsidRDefault="00D765D6" w:rsidP="009661D7">
      <w:pPr>
        <w:pStyle w:val="Prrafodelist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D7">
        <w:rPr>
          <w:rFonts w:ascii="Times New Roman" w:eastAsia="Calibri" w:hAnsi="Times New Roman" w:cs="Times New Roman"/>
          <w:sz w:val="24"/>
          <w:szCs w:val="24"/>
        </w:rPr>
        <w:t>-</w:t>
      </w:r>
      <w:r w:rsidR="00AC34DE" w:rsidRPr="009661D7">
        <w:rPr>
          <w:rFonts w:ascii="Times New Roman" w:eastAsia="Calibri" w:hAnsi="Times New Roman" w:cs="Times New Roman"/>
          <w:sz w:val="24"/>
          <w:szCs w:val="24"/>
        </w:rPr>
        <w:t xml:space="preserve">El </w:t>
      </w:r>
      <w:proofErr w:type="spellStart"/>
      <w:r w:rsidR="00AC34DE" w:rsidRPr="009661D7"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 w:rsidR="00AC34DE" w:rsidRPr="009661D7">
        <w:rPr>
          <w:rFonts w:ascii="Times New Roman" w:eastAsia="Calibri" w:hAnsi="Times New Roman" w:cs="Times New Roman"/>
          <w:sz w:val="24"/>
          <w:szCs w:val="24"/>
        </w:rPr>
        <w:t xml:space="preserve"> Reinaldo responde que hubo reducción de mortalidad por todas las cusas e</w:t>
      </w:r>
      <w:r w:rsidR="005531ED">
        <w:rPr>
          <w:rFonts w:ascii="Times New Roman" w:eastAsia="Calibri" w:hAnsi="Times New Roman" w:cs="Times New Roman"/>
          <w:sz w:val="24"/>
          <w:szCs w:val="24"/>
        </w:rPr>
        <w:t xml:space="preserve">n el grupo que recibió </w:t>
      </w:r>
      <w:proofErr w:type="spellStart"/>
      <w:r w:rsidR="005531ED">
        <w:rPr>
          <w:rFonts w:ascii="Times New Roman" w:eastAsia="Calibri" w:hAnsi="Times New Roman" w:cs="Times New Roman"/>
          <w:sz w:val="24"/>
          <w:szCs w:val="24"/>
        </w:rPr>
        <w:t>dabigatrá</w:t>
      </w:r>
      <w:r w:rsidR="00AC34DE" w:rsidRPr="009661D7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AC34DE" w:rsidRPr="009661D7">
        <w:rPr>
          <w:rFonts w:ascii="Times New Roman" w:eastAsia="Calibri" w:hAnsi="Times New Roman" w:cs="Times New Roman"/>
          <w:sz w:val="24"/>
          <w:szCs w:val="24"/>
        </w:rPr>
        <w:t xml:space="preserve"> vs </w:t>
      </w:r>
      <w:proofErr w:type="spellStart"/>
      <w:r w:rsidR="00AC34DE" w:rsidRPr="009661D7">
        <w:rPr>
          <w:rFonts w:ascii="Times New Roman" w:eastAsia="Calibri" w:hAnsi="Times New Roman" w:cs="Times New Roman"/>
          <w:sz w:val="24"/>
          <w:szCs w:val="24"/>
        </w:rPr>
        <w:t>Warfarina</w:t>
      </w:r>
      <w:proofErr w:type="spellEnd"/>
      <w:r w:rsidR="00714A36" w:rsidRPr="009661D7">
        <w:rPr>
          <w:rFonts w:ascii="Times New Roman" w:eastAsia="Calibri" w:hAnsi="Times New Roman" w:cs="Times New Roman"/>
          <w:sz w:val="24"/>
          <w:szCs w:val="24"/>
        </w:rPr>
        <w:t>, ya que esta última fue asociada a mayor sangrado por todas las causas.</w:t>
      </w:r>
    </w:p>
    <w:p w:rsidR="00E95A0A" w:rsidRPr="009661D7" w:rsidRDefault="00E95A0A" w:rsidP="009661D7">
      <w:pPr>
        <w:pStyle w:val="Prrafodelist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D7">
        <w:rPr>
          <w:rFonts w:ascii="Times New Roman" w:eastAsia="Calibri" w:hAnsi="Times New Roman" w:cs="Times New Roman"/>
          <w:sz w:val="24"/>
          <w:szCs w:val="24"/>
        </w:rPr>
        <w:t>La Dra. Infante aporta como conclusión: el tratar a los pacientes con FA valvular o no valvular con estos me</w:t>
      </w:r>
      <w:r w:rsidR="007603F5" w:rsidRPr="009661D7">
        <w:rPr>
          <w:rFonts w:ascii="Times New Roman" w:eastAsia="Calibri" w:hAnsi="Times New Roman" w:cs="Times New Roman"/>
          <w:sz w:val="24"/>
          <w:szCs w:val="24"/>
        </w:rPr>
        <w:t>dicamentos, no brinda beneficio, ya que no hay diferencia estadísticamente significativa.</w:t>
      </w:r>
    </w:p>
    <w:p w:rsidR="005C6A71" w:rsidRPr="009661D7" w:rsidRDefault="005C6A71" w:rsidP="009661D7">
      <w:pPr>
        <w:pStyle w:val="Prrafodelist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D7">
        <w:rPr>
          <w:rFonts w:ascii="Times New Roman" w:eastAsia="Calibri" w:hAnsi="Times New Roman" w:cs="Times New Roman"/>
          <w:sz w:val="24"/>
          <w:szCs w:val="24"/>
        </w:rPr>
        <w:lastRenderedPageBreak/>
        <w:t>La Dra. Infante</w:t>
      </w:r>
      <w:r w:rsidR="00B72E64" w:rsidRPr="009661D7">
        <w:rPr>
          <w:rFonts w:ascii="Times New Roman" w:eastAsia="Calibri" w:hAnsi="Times New Roman" w:cs="Times New Roman"/>
          <w:sz w:val="24"/>
          <w:szCs w:val="24"/>
        </w:rPr>
        <w:t xml:space="preserve"> y la </w:t>
      </w:r>
      <w:proofErr w:type="spellStart"/>
      <w:r w:rsidR="00B72E64" w:rsidRPr="009661D7">
        <w:rPr>
          <w:rFonts w:ascii="Times New Roman" w:eastAsia="Calibri" w:hAnsi="Times New Roman" w:cs="Times New Roman"/>
          <w:sz w:val="24"/>
          <w:szCs w:val="24"/>
        </w:rPr>
        <w:t>Dra</w:t>
      </w:r>
      <w:proofErr w:type="spellEnd"/>
      <w:r w:rsidR="00B72E64" w:rsidRPr="009661D7">
        <w:rPr>
          <w:rFonts w:ascii="Times New Roman" w:eastAsia="Calibri" w:hAnsi="Times New Roman" w:cs="Times New Roman"/>
          <w:sz w:val="24"/>
          <w:szCs w:val="24"/>
        </w:rPr>
        <w:t xml:space="preserve"> Mari</w:t>
      </w:r>
      <w:r w:rsidR="005531ED">
        <w:rPr>
          <w:rFonts w:ascii="Times New Roman" w:eastAsia="Calibri" w:hAnsi="Times New Roman" w:cs="Times New Roman"/>
          <w:sz w:val="24"/>
          <w:szCs w:val="24"/>
        </w:rPr>
        <w:t>a</w:t>
      </w:r>
      <w:r w:rsidR="00B72E64" w:rsidRPr="009661D7">
        <w:rPr>
          <w:rFonts w:ascii="Times New Roman" w:eastAsia="Calibri" w:hAnsi="Times New Roman" w:cs="Times New Roman"/>
          <w:sz w:val="24"/>
          <w:szCs w:val="24"/>
        </w:rPr>
        <w:t>nela</w:t>
      </w:r>
      <w:r w:rsidRPr="009661D7">
        <w:rPr>
          <w:rFonts w:ascii="Times New Roman" w:eastAsia="Calibri" w:hAnsi="Times New Roman" w:cs="Times New Roman"/>
          <w:sz w:val="24"/>
          <w:szCs w:val="24"/>
        </w:rPr>
        <w:t xml:space="preserve"> aporta que el artículo no responde a la pregunta del ciclo, ya que las características de los pacientes del estudio no son sim</w:t>
      </w:r>
      <w:r w:rsidR="00D80B37" w:rsidRPr="009661D7">
        <w:rPr>
          <w:rFonts w:ascii="Times New Roman" w:eastAsia="Calibri" w:hAnsi="Times New Roman" w:cs="Times New Roman"/>
          <w:sz w:val="24"/>
          <w:szCs w:val="24"/>
        </w:rPr>
        <w:t>ilares a los de la interrogante, ya que no incluye a los pacientes con prótesis valvulares.</w:t>
      </w:r>
    </w:p>
    <w:p w:rsidR="00525A77" w:rsidRPr="005531ED" w:rsidRDefault="00D80B37" w:rsidP="005531ED">
      <w:pPr>
        <w:pStyle w:val="Prrafodelist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61D7">
        <w:rPr>
          <w:rFonts w:ascii="Times New Roman" w:eastAsia="Calibri" w:hAnsi="Times New Roman" w:cs="Times New Roman"/>
          <w:sz w:val="24"/>
          <w:szCs w:val="24"/>
        </w:rPr>
        <w:t>Dra</w:t>
      </w:r>
      <w:proofErr w:type="spellEnd"/>
      <w:r w:rsidRPr="00966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61D7">
        <w:rPr>
          <w:rFonts w:ascii="Times New Roman" w:eastAsia="Calibri" w:hAnsi="Times New Roman" w:cs="Times New Roman"/>
          <w:sz w:val="24"/>
          <w:szCs w:val="24"/>
        </w:rPr>
        <w:t>Marinela</w:t>
      </w:r>
      <w:proofErr w:type="spellEnd"/>
      <w:r w:rsidRPr="009661D7">
        <w:rPr>
          <w:rFonts w:ascii="Times New Roman" w:eastAsia="Calibri" w:hAnsi="Times New Roman" w:cs="Times New Roman"/>
          <w:sz w:val="24"/>
          <w:szCs w:val="24"/>
        </w:rPr>
        <w:t xml:space="preserve"> acota que el artículo a pesar de no responder la pregunta, tiene utilidad para evaluar el comportamiento de los anticoagulantes en una enfermedad valvular o no valvular en pacientes con FA como clínicos.</w:t>
      </w:r>
      <w:bookmarkStart w:id="0" w:name="_GoBack"/>
      <w:bookmarkEnd w:id="0"/>
    </w:p>
    <w:p w:rsidR="003C6C7C" w:rsidRDefault="003C6C7C"/>
    <w:sectPr w:rsidR="003C6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4FF8"/>
    <w:multiLevelType w:val="hybridMultilevel"/>
    <w:tmpl w:val="268AEECA"/>
    <w:lvl w:ilvl="0" w:tplc="431E4C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5EE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2023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50B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8F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507C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47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8A9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729F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C4D03"/>
    <w:multiLevelType w:val="hybridMultilevel"/>
    <w:tmpl w:val="6EFE9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E2570"/>
    <w:multiLevelType w:val="hybridMultilevel"/>
    <w:tmpl w:val="E5BE4040"/>
    <w:lvl w:ilvl="0" w:tplc="33860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E8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B0F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CE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27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C2DC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02E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DE39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6E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593913"/>
    <w:multiLevelType w:val="hybridMultilevel"/>
    <w:tmpl w:val="B5BA5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A06B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77"/>
    <w:rsid w:val="001C3FB8"/>
    <w:rsid w:val="003C6C7C"/>
    <w:rsid w:val="003D1D8D"/>
    <w:rsid w:val="004F6464"/>
    <w:rsid w:val="00525A77"/>
    <w:rsid w:val="0053084C"/>
    <w:rsid w:val="005531ED"/>
    <w:rsid w:val="005B016D"/>
    <w:rsid w:val="005C2EE8"/>
    <w:rsid w:val="005C6A71"/>
    <w:rsid w:val="006F3A8D"/>
    <w:rsid w:val="00714A36"/>
    <w:rsid w:val="007603F5"/>
    <w:rsid w:val="00794F54"/>
    <w:rsid w:val="008069A1"/>
    <w:rsid w:val="009171A9"/>
    <w:rsid w:val="009661D7"/>
    <w:rsid w:val="009E6265"/>
    <w:rsid w:val="00A2339B"/>
    <w:rsid w:val="00A316C6"/>
    <w:rsid w:val="00AC34DE"/>
    <w:rsid w:val="00AD534C"/>
    <w:rsid w:val="00B72E64"/>
    <w:rsid w:val="00BE10ED"/>
    <w:rsid w:val="00D254C3"/>
    <w:rsid w:val="00D765D6"/>
    <w:rsid w:val="00D80B37"/>
    <w:rsid w:val="00E9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A592"/>
  <w15:chartTrackingRefBased/>
  <w15:docId w15:val="{6D6D09A6-3303-466D-B313-066053DB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A7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5A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0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Reinaldo Arias</cp:lastModifiedBy>
  <cp:revision>27</cp:revision>
  <dcterms:created xsi:type="dcterms:W3CDTF">2022-05-04T02:19:00Z</dcterms:created>
  <dcterms:modified xsi:type="dcterms:W3CDTF">2022-05-05T20:38:00Z</dcterms:modified>
</cp:coreProperties>
</file>