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7783" w14:textId="77777777" w:rsidR="00063F12" w:rsidRPr="00D54EF9" w:rsidRDefault="00063F12" w:rsidP="00063F12">
      <w:pPr>
        <w:jc w:val="center"/>
        <w:rPr>
          <w:rFonts w:ascii="Times New Roman" w:hAnsi="Times New Roman" w:cs="Times New Roman"/>
          <w:b/>
          <w:bCs/>
        </w:rPr>
      </w:pPr>
      <w:r w:rsidRPr="00D54EF9">
        <w:rPr>
          <w:rFonts w:ascii="Times New Roman" w:hAnsi="Times New Roman" w:cs="Times New Roman"/>
          <w:b/>
          <w:bCs/>
        </w:rPr>
        <w:t xml:space="preserve">EVIDENCIA CIENTÍFICA </w:t>
      </w:r>
    </w:p>
    <w:p w14:paraId="2F418EC2" w14:textId="02DD08A5" w:rsidR="00063F12" w:rsidRPr="00F47DCE" w:rsidRDefault="00063F12" w:rsidP="00063F12">
      <w:pPr>
        <w:spacing w:after="0" w:line="240" w:lineRule="auto"/>
        <w:jc w:val="center"/>
        <w:rPr>
          <w:rFonts w:ascii="Times New Roman" w:hAnsi="Times New Roman" w:cs="Times New Roman"/>
          <w:b/>
          <w:bCs/>
          <w:i/>
          <w:iCs/>
          <w:sz w:val="24"/>
          <w:szCs w:val="24"/>
          <w:lang w:val="es-ES"/>
        </w:rPr>
      </w:pPr>
      <w:r w:rsidRPr="00F47DCE">
        <w:rPr>
          <w:rFonts w:ascii="Times New Roman" w:hAnsi="Times New Roman" w:cs="Times New Roman"/>
          <w:b/>
          <w:bCs/>
          <w:i/>
          <w:iCs/>
          <w:sz w:val="24"/>
          <w:szCs w:val="24"/>
          <w:lang w:val="es-ES"/>
        </w:rPr>
        <w:t xml:space="preserve">Artículo número </w:t>
      </w:r>
      <w:r>
        <w:rPr>
          <w:rFonts w:ascii="Times New Roman" w:hAnsi="Times New Roman" w:cs="Times New Roman"/>
          <w:b/>
          <w:bCs/>
          <w:i/>
          <w:iCs/>
          <w:sz w:val="24"/>
          <w:szCs w:val="24"/>
          <w:lang w:val="es-ES"/>
        </w:rPr>
        <w:t>3</w:t>
      </w:r>
      <w:r w:rsidRPr="00F47DCE">
        <w:rPr>
          <w:rFonts w:ascii="Times New Roman" w:hAnsi="Times New Roman" w:cs="Times New Roman"/>
          <w:b/>
          <w:bCs/>
          <w:i/>
          <w:iCs/>
          <w:sz w:val="24"/>
          <w:szCs w:val="24"/>
          <w:lang w:val="es-ES"/>
        </w:rPr>
        <w:t>:</w:t>
      </w:r>
    </w:p>
    <w:p w14:paraId="5A480AE0" w14:textId="775B6514" w:rsidR="00D54EF9" w:rsidRDefault="00063F12" w:rsidP="00D54EF9">
      <w:pPr>
        <w:jc w:val="center"/>
        <w:rPr>
          <w:b/>
          <w:lang w:val="es-ES"/>
        </w:rPr>
      </w:pPr>
      <w:r w:rsidRPr="00DB0A74">
        <w:rPr>
          <w:rFonts w:ascii="Times New Roman" w:hAnsi="Times New Roman" w:cs="Times New Roman"/>
          <w:b/>
          <w:bCs/>
          <w:sz w:val="24"/>
          <w:szCs w:val="24"/>
          <w:u w:val="single"/>
          <w:lang w:val="es-ES"/>
        </w:rPr>
        <w:t>Título</w:t>
      </w:r>
      <w:r w:rsidRPr="00306D72">
        <w:rPr>
          <w:rFonts w:ascii="Times New Roman" w:hAnsi="Times New Roman" w:cs="Times New Roman"/>
          <w:b/>
          <w:bCs/>
          <w:sz w:val="24"/>
          <w:szCs w:val="24"/>
          <w:lang w:val="es-ES"/>
        </w:rPr>
        <w:t xml:space="preserve">: </w:t>
      </w:r>
      <w:r w:rsidR="00D54EF9">
        <w:rPr>
          <w:rFonts w:ascii="Times New Roman" w:hAnsi="Times New Roman" w:cs="Times New Roman"/>
          <w:b/>
          <w:bCs/>
          <w:sz w:val="24"/>
          <w:szCs w:val="24"/>
          <w:lang w:val="es-ES"/>
        </w:rPr>
        <w:t>E</w:t>
      </w:r>
      <w:r w:rsidR="00D54EF9" w:rsidRPr="00D54EF9">
        <w:rPr>
          <w:rFonts w:ascii="Times New Roman" w:hAnsi="Times New Roman" w:cs="Times New Roman"/>
          <w:b/>
          <w:sz w:val="24"/>
          <w:szCs w:val="24"/>
          <w:lang w:val="es-ES"/>
        </w:rPr>
        <w:t xml:space="preserve">l tratamiento tardío con inmunoglobulina endovenosa aumento el riesgo de lesiones de las arterias coronarias en niños con </w:t>
      </w:r>
      <w:r w:rsidR="00D54EF9">
        <w:rPr>
          <w:rFonts w:ascii="Times New Roman" w:hAnsi="Times New Roman" w:cs="Times New Roman"/>
          <w:b/>
          <w:sz w:val="24"/>
          <w:szCs w:val="24"/>
          <w:lang w:val="es-ES"/>
        </w:rPr>
        <w:t>E</w:t>
      </w:r>
      <w:r w:rsidR="00D54EF9" w:rsidRPr="00D54EF9">
        <w:rPr>
          <w:rFonts w:ascii="Times New Roman" w:hAnsi="Times New Roman" w:cs="Times New Roman"/>
          <w:b/>
          <w:sz w:val="24"/>
          <w:szCs w:val="24"/>
          <w:lang w:val="es-ES"/>
        </w:rPr>
        <w:t xml:space="preserve">nfermedad de </w:t>
      </w:r>
      <w:r w:rsidR="00D54EF9">
        <w:rPr>
          <w:rFonts w:ascii="Times New Roman" w:hAnsi="Times New Roman" w:cs="Times New Roman"/>
          <w:b/>
          <w:sz w:val="24"/>
          <w:szCs w:val="24"/>
          <w:lang w:val="es-ES"/>
        </w:rPr>
        <w:t>K</w:t>
      </w:r>
      <w:r w:rsidR="00D54EF9" w:rsidRPr="00D54EF9">
        <w:rPr>
          <w:rFonts w:ascii="Times New Roman" w:hAnsi="Times New Roman" w:cs="Times New Roman"/>
          <w:b/>
          <w:sz w:val="24"/>
          <w:szCs w:val="24"/>
          <w:lang w:val="es-ES"/>
        </w:rPr>
        <w:t>awasaki en diferentes estadios</w:t>
      </w:r>
      <w:r w:rsidR="00D54EF9">
        <w:rPr>
          <w:rFonts w:ascii="Times New Roman" w:hAnsi="Times New Roman" w:cs="Times New Roman"/>
          <w:b/>
          <w:sz w:val="24"/>
          <w:szCs w:val="24"/>
          <w:lang w:val="es-ES"/>
        </w:rPr>
        <w:t>.</w:t>
      </w:r>
    </w:p>
    <w:p w14:paraId="010E67DF" w14:textId="18D61B74" w:rsidR="00063F12" w:rsidRPr="00306D72" w:rsidRDefault="00063F12" w:rsidP="00063F12">
      <w:pPr>
        <w:spacing w:after="0" w:line="240" w:lineRule="auto"/>
        <w:jc w:val="center"/>
        <w:rPr>
          <w:rFonts w:ascii="Times New Roman" w:hAnsi="Times New Roman" w:cs="Times New Roman"/>
          <w:b/>
          <w:bCs/>
          <w:sz w:val="24"/>
          <w:szCs w:val="24"/>
          <w:lang w:val="es-ES"/>
        </w:rPr>
      </w:pPr>
    </w:p>
    <w:p w14:paraId="0590A2E0" w14:textId="06316021" w:rsidR="00063F12" w:rsidRPr="00556D9E" w:rsidRDefault="00063F12" w:rsidP="00063F12">
      <w:pPr>
        <w:jc w:val="center"/>
        <w:rPr>
          <w:b/>
          <w:bCs/>
        </w:rPr>
      </w:pPr>
    </w:p>
    <w:p w14:paraId="18C52D64" w14:textId="72390EA0"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Fecha:</w:t>
      </w:r>
      <w:r w:rsidRPr="00D54EF9">
        <w:rPr>
          <w:rFonts w:ascii="Times New Roman" w:hAnsi="Times New Roman" w:cs="Times New Roman"/>
        </w:rPr>
        <w:t xml:space="preserve"> lunes, 06 de junio de 2022. </w:t>
      </w:r>
      <w:r w:rsidRPr="00D54EF9">
        <w:rPr>
          <w:rFonts w:ascii="Times New Roman" w:hAnsi="Times New Roman" w:cs="Times New Roman"/>
          <w:b/>
          <w:bCs/>
        </w:rPr>
        <w:t>Hora:</w:t>
      </w:r>
      <w:r w:rsidRPr="00D54EF9">
        <w:rPr>
          <w:rFonts w:ascii="Times New Roman" w:hAnsi="Times New Roman" w:cs="Times New Roman"/>
        </w:rPr>
        <w:t xml:space="preserve"> 12:30 p.m. a 1:30 p.m. </w:t>
      </w:r>
      <w:r w:rsidRPr="00D54EF9">
        <w:rPr>
          <w:rFonts w:ascii="Times New Roman" w:hAnsi="Times New Roman" w:cs="Times New Roman"/>
          <w:b/>
          <w:bCs/>
        </w:rPr>
        <w:t>Lugar:</w:t>
      </w:r>
      <w:r w:rsidRPr="00D54EF9">
        <w:rPr>
          <w:rFonts w:ascii="Times New Roman" w:hAnsi="Times New Roman" w:cs="Times New Roman"/>
        </w:rPr>
        <w:t xml:space="preserve"> Auditorio de ASCARDIO. </w:t>
      </w:r>
    </w:p>
    <w:p w14:paraId="5F6B09C7" w14:textId="6261711A"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Responsable:</w:t>
      </w:r>
      <w:r w:rsidRPr="00D54EF9">
        <w:rPr>
          <w:rFonts w:ascii="Times New Roman" w:hAnsi="Times New Roman" w:cs="Times New Roman"/>
        </w:rPr>
        <w:t xml:space="preserve"> Cardiología Infantil y Grupo C de Cardiología Poblacional</w:t>
      </w:r>
    </w:p>
    <w:p w14:paraId="2862F6D4" w14:textId="1C2751D8"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Ponente:</w:t>
      </w:r>
      <w:r w:rsidRPr="00D54EF9">
        <w:rPr>
          <w:rFonts w:ascii="Times New Roman" w:hAnsi="Times New Roman" w:cs="Times New Roman"/>
        </w:rPr>
        <w:t xml:space="preserve"> Dra. Liseth Pérez (Residente de segundo año de Cardiología </w:t>
      </w:r>
      <w:r w:rsidR="0082341D" w:rsidRPr="00D54EF9">
        <w:rPr>
          <w:rFonts w:ascii="Times New Roman" w:hAnsi="Times New Roman" w:cs="Times New Roman"/>
        </w:rPr>
        <w:t>Infantil</w:t>
      </w:r>
      <w:r w:rsidRPr="00D54EF9">
        <w:rPr>
          <w:rFonts w:ascii="Times New Roman" w:hAnsi="Times New Roman" w:cs="Times New Roman"/>
        </w:rPr>
        <w:t xml:space="preserve">) y Dra. Karen Parra (Residente de primer año de Cardiología Infantil). </w:t>
      </w:r>
    </w:p>
    <w:p w14:paraId="77A3ED31" w14:textId="165E12F4"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Relator:</w:t>
      </w:r>
      <w:r w:rsidRPr="00D54EF9">
        <w:rPr>
          <w:rFonts w:ascii="Times New Roman" w:hAnsi="Times New Roman" w:cs="Times New Roman"/>
        </w:rPr>
        <w:t xml:space="preserve"> Dra. </w:t>
      </w:r>
      <w:proofErr w:type="spellStart"/>
      <w:r w:rsidR="0082341D" w:rsidRPr="00D54EF9">
        <w:rPr>
          <w:rFonts w:ascii="Times New Roman" w:hAnsi="Times New Roman" w:cs="Times New Roman"/>
        </w:rPr>
        <w:t>Raymar</w:t>
      </w:r>
      <w:proofErr w:type="spellEnd"/>
      <w:r w:rsidR="0082341D" w:rsidRPr="00D54EF9">
        <w:rPr>
          <w:rFonts w:ascii="Times New Roman" w:hAnsi="Times New Roman" w:cs="Times New Roman"/>
        </w:rPr>
        <w:t xml:space="preserve"> Querales</w:t>
      </w:r>
      <w:r w:rsidRPr="00D54EF9">
        <w:rPr>
          <w:rFonts w:ascii="Times New Roman" w:hAnsi="Times New Roman" w:cs="Times New Roman"/>
        </w:rPr>
        <w:t xml:space="preserve"> (Residente de tercer año de Cardiología</w:t>
      </w:r>
      <w:r w:rsidR="0082341D" w:rsidRPr="00D54EF9">
        <w:rPr>
          <w:rFonts w:ascii="Times New Roman" w:hAnsi="Times New Roman" w:cs="Times New Roman"/>
        </w:rPr>
        <w:t xml:space="preserve"> Infantil</w:t>
      </w:r>
      <w:r w:rsidRPr="00D54EF9">
        <w:rPr>
          <w:rFonts w:ascii="Times New Roman" w:hAnsi="Times New Roman" w:cs="Times New Roman"/>
        </w:rPr>
        <w:t xml:space="preserve">). </w:t>
      </w:r>
    </w:p>
    <w:p w14:paraId="66CF6A42" w14:textId="76259243"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Asistentes:</w:t>
      </w:r>
      <w:r w:rsidRPr="00D54EF9">
        <w:rPr>
          <w:rFonts w:ascii="Times New Roman" w:hAnsi="Times New Roman" w:cs="Times New Roman"/>
        </w:rPr>
        <w:t xml:space="preserve"> Dra. Raquel González, Dr. Reinaldo Ortiz, Dra. </w:t>
      </w:r>
      <w:proofErr w:type="spellStart"/>
      <w:r w:rsidR="00C57CB4" w:rsidRPr="00D54EF9">
        <w:rPr>
          <w:rFonts w:ascii="Times New Roman" w:hAnsi="Times New Roman" w:cs="Times New Roman"/>
        </w:rPr>
        <w:t>Darkis</w:t>
      </w:r>
      <w:proofErr w:type="spellEnd"/>
      <w:r w:rsidR="00C57CB4" w:rsidRPr="00D54EF9">
        <w:rPr>
          <w:rFonts w:ascii="Times New Roman" w:hAnsi="Times New Roman" w:cs="Times New Roman"/>
        </w:rPr>
        <w:t xml:space="preserve"> Dia</w:t>
      </w:r>
      <w:r w:rsidRPr="00D54EF9">
        <w:rPr>
          <w:rFonts w:ascii="Times New Roman" w:hAnsi="Times New Roman" w:cs="Times New Roman"/>
        </w:rPr>
        <w:t xml:space="preserve">z, Dra. Marianela Falcone, residentes de postgrado de cardiología clínica, cardiología infantil y residentes asistenciales. </w:t>
      </w:r>
    </w:p>
    <w:p w14:paraId="3E2C50C0" w14:textId="77777777" w:rsidR="00063F12" w:rsidRPr="00D54EF9" w:rsidRDefault="00063F12" w:rsidP="00063F12">
      <w:pPr>
        <w:jc w:val="both"/>
        <w:rPr>
          <w:rFonts w:ascii="Times New Roman" w:hAnsi="Times New Roman" w:cs="Times New Roman"/>
          <w:bCs/>
          <w:iCs/>
          <w:shd w:val="clear" w:color="auto" w:fill="FFFFFF"/>
          <w:lang w:val="es-ES"/>
        </w:rPr>
      </w:pPr>
      <w:r w:rsidRPr="00D54EF9">
        <w:rPr>
          <w:rFonts w:ascii="Times New Roman" w:hAnsi="Times New Roman" w:cs="Times New Roman"/>
          <w:b/>
          <w:bCs/>
        </w:rPr>
        <w:t>Interrogante del ciclo:</w:t>
      </w:r>
      <w:r w:rsidRPr="00D54EF9">
        <w:rPr>
          <w:rFonts w:ascii="Times New Roman" w:hAnsi="Times New Roman" w:cs="Times New Roman"/>
        </w:rPr>
        <w:t xml:space="preserve"> </w:t>
      </w:r>
      <w:r w:rsidRPr="00D54EF9">
        <w:rPr>
          <w:rFonts w:ascii="Times New Roman" w:hAnsi="Times New Roman" w:cs="Times New Roman"/>
          <w:bCs/>
          <w:iCs/>
          <w:shd w:val="clear" w:color="auto" w:fill="FFFFFF"/>
          <w:lang w:val="es-ES"/>
        </w:rPr>
        <w:t xml:space="preserve">“En pacientes con enfermedad de Kawasaki, el tratamiento con inmunoglobulina vía endovenosa en la fase </w:t>
      </w:r>
      <w:proofErr w:type="spellStart"/>
      <w:r w:rsidRPr="00D54EF9">
        <w:rPr>
          <w:rFonts w:ascii="Times New Roman" w:hAnsi="Times New Roman" w:cs="Times New Roman"/>
          <w:bCs/>
          <w:iCs/>
          <w:shd w:val="clear" w:color="auto" w:fill="FFFFFF"/>
          <w:lang w:val="es-ES"/>
        </w:rPr>
        <w:t>sub-aguda</w:t>
      </w:r>
      <w:proofErr w:type="spellEnd"/>
      <w:r w:rsidRPr="00D54EF9">
        <w:rPr>
          <w:rFonts w:ascii="Times New Roman" w:hAnsi="Times New Roman" w:cs="Times New Roman"/>
          <w:bCs/>
          <w:iCs/>
          <w:shd w:val="clear" w:color="auto" w:fill="FFFFFF"/>
          <w:lang w:val="es-ES"/>
        </w:rPr>
        <w:t xml:space="preserve"> ¿reduce la incidencia de aneurismas de arterias coronarias tanto como en la fase aguda?”.</w:t>
      </w:r>
    </w:p>
    <w:p w14:paraId="4522A95F" w14:textId="77777777"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Área de revisión:</w:t>
      </w:r>
      <w:r w:rsidRPr="00D54EF9">
        <w:rPr>
          <w:rFonts w:ascii="Times New Roman" w:hAnsi="Times New Roman" w:cs="Times New Roman"/>
        </w:rPr>
        <w:t xml:space="preserve"> Cardiología Infantil.</w:t>
      </w:r>
    </w:p>
    <w:p w14:paraId="5DC87043" w14:textId="4C752D09" w:rsidR="00063F12" w:rsidRPr="00D54EF9" w:rsidRDefault="00063F12" w:rsidP="00063F12">
      <w:pPr>
        <w:jc w:val="both"/>
        <w:rPr>
          <w:rFonts w:ascii="Times New Roman" w:hAnsi="Times New Roman" w:cs="Times New Roman"/>
        </w:rPr>
      </w:pPr>
      <w:r w:rsidRPr="00D54EF9">
        <w:rPr>
          <w:rFonts w:ascii="Times New Roman" w:hAnsi="Times New Roman" w:cs="Times New Roman"/>
          <w:b/>
          <w:bCs/>
        </w:rPr>
        <w:t>Primera parte:</w:t>
      </w:r>
      <w:r w:rsidRPr="00D54EF9">
        <w:rPr>
          <w:rFonts w:ascii="Times New Roman" w:hAnsi="Times New Roman" w:cs="Times New Roman"/>
        </w:rPr>
        <w:t xml:space="preserve"> Se realizó la introducción acerca de la entidad en estudio (Enfermedad de Kawasaki) </w:t>
      </w:r>
      <w:r w:rsidR="00C57CB4" w:rsidRPr="00D54EF9">
        <w:rPr>
          <w:rFonts w:ascii="Times New Roman" w:hAnsi="Times New Roman" w:cs="Times New Roman"/>
        </w:rPr>
        <w:t xml:space="preserve">haciendo énfasis en la evolución natural de la enfermedad </w:t>
      </w:r>
      <w:r w:rsidRPr="00D54EF9">
        <w:rPr>
          <w:rFonts w:ascii="Times New Roman" w:hAnsi="Times New Roman" w:cs="Times New Roman"/>
        </w:rPr>
        <w:t xml:space="preserve">a cargo de la Dra. </w:t>
      </w:r>
      <w:r w:rsidR="00C57CB4" w:rsidRPr="00D54EF9">
        <w:rPr>
          <w:rFonts w:ascii="Times New Roman" w:hAnsi="Times New Roman" w:cs="Times New Roman"/>
        </w:rPr>
        <w:t>Karen Parra</w:t>
      </w:r>
      <w:r w:rsidRPr="00D54EF9">
        <w:rPr>
          <w:rFonts w:ascii="Times New Roman" w:hAnsi="Times New Roman" w:cs="Times New Roman"/>
        </w:rPr>
        <w:t xml:space="preserve">. Posteriormente, se presentó </w:t>
      </w:r>
      <w:r w:rsidR="00C57CB4" w:rsidRPr="00D54EF9">
        <w:rPr>
          <w:rFonts w:ascii="Times New Roman" w:hAnsi="Times New Roman" w:cs="Times New Roman"/>
        </w:rPr>
        <w:t>el tercer artículo de revisión y discusión en conjunto con los expertos clínicos.</w:t>
      </w:r>
    </w:p>
    <w:p w14:paraId="6D879081" w14:textId="6F75B0A5" w:rsidR="00063F12" w:rsidRPr="00D54EF9" w:rsidRDefault="00063F12" w:rsidP="00063F12">
      <w:pPr>
        <w:jc w:val="both"/>
        <w:rPr>
          <w:rFonts w:ascii="Times New Roman" w:hAnsi="Times New Roman" w:cs="Times New Roman"/>
          <w:bCs/>
        </w:rPr>
      </w:pPr>
      <w:r w:rsidRPr="00D54EF9">
        <w:rPr>
          <w:rFonts w:ascii="Times New Roman" w:hAnsi="Times New Roman" w:cs="Times New Roman"/>
          <w:b/>
          <w:bCs/>
        </w:rPr>
        <w:t>Segunda parte:</w:t>
      </w:r>
      <w:r w:rsidRPr="00D54EF9">
        <w:rPr>
          <w:rFonts w:ascii="Times New Roman" w:hAnsi="Times New Roman" w:cs="Times New Roman"/>
        </w:rPr>
        <w:t xml:space="preserve"> </w:t>
      </w:r>
      <w:r w:rsidRPr="00D54EF9">
        <w:rPr>
          <w:rFonts w:ascii="Times New Roman" w:hAnsi="Times New Roman" w:cs="Times New Roman"/>
          <w:bCs/>
        </w:rPr>
        <w:t xml:space="preserve">Intervenciones de los asistentes y discusión final: </w:t>
      </w:r>
      <w:r w:rsidR="00BF24B2" w:rsidRPr="00D54EF9">
        <w:rPr>
          <w:rFonts w:ascii="Times New Roman" w:hAnsi="Times New Roman" w:cs="Times New Roman"/>
          <w:bCs/>
        </w:rPr>
        <w:t xml:space="preserve"> </w:t>
      </w:r>
    </w:p>
    <w:p w14:paraId="14CF0B9D" w14:textId="128A6606" w:rsidR="00F704FC" w:rsidRPr="00F704FC" w:rsidRDefault="00F704FC" w:rsidP="00F704FC">
      <w:pPr>
        <w:pStyle w:val="Prrafodelista"/>
        <w:numPr>
          <w:ilvl w:val="0"/>
          <w:numId w:val="2"/>
        </w:numPr>
        <w:jc w:val="both"/>
        <w:rPr>
          <w:rFonts w:ascii="Times New Roman" w:hAnsi="Times New Roman" w:cs="Times New Roman"/>
          <w:lang w:val="es-ES"/>
        </w:rPr>
      </w:pPr>
      <w:r w:rsidRPr="00F704FC">
        <w:rPr>
          <w:rFonts w:ascii="Times New Roman" w:hAnsi="Times New Roman" w:cs="Times New Roman"/>
          <w:lang w:val="es-ES"/>
        </w:rPr>
        <w:t xml:space="preserve">Durante la presentación de la </w:t>
      </w:r>
      <w:r w:rsidRPr="00F704FC">
        <w:rPr>
          <w:rFonts w:ascii="Times New Roman" w:hAnsi="Times New Roman" w:cs="Times New Roman"/>
          <w:b/>
          <w:lang w:val="es-ES"/>
        </w:rPr>
        <w:t>tabla Nª1</w:t>
      </w:r>
      <w:r w:rsidRPr="00F704FC">
        <w:rPr>
          <w:rFonts w:ascii="Times New Roman" w:hAnsi="Times New Roman" w:cs="Times New Roman"/>
          <w:lang w:val="es-ES"/>
        </w:rPr>
        <w:t xml:space="preserve"> la Dra. Raquel González hace la acotación de la marcada diferencia entre el número de pacientes que recibieron la inmunoglobulina en la fase temprana en comparación a los que la recibieron de forma tardía, siendo mayor en el primer grupo, lo que reafirma la indicación y el cumplimiento del tratamiento de forma prioritaria en aquellos pacientes que se ubican en los primeros 10 días de la enfermedad; a lo que el Dr. </w:t>
      </w:r>
      <w:proofErr w:type="spellStart"/>
      <w:r w:rsidRPr="00F704FC">
        <w:rPr>
          <w:rFonts w:ascii="Times New Roman" w:hAnsi="Times New Roman" w:cs="Times New Roman"/>
          <w:lang w:val="es-ES"/>
        </w:rPr>
        <w:t>Ortíz</w:t>
      </w:r>
      <w:proofErr w:type="spellEnd"/>
      <w:r w:rsidRPr="00F704FC">
        <w:rPr>
          <w:rFonts w:ascii="Times New Roman" w:hAnsi="Times New Roman" w:cs="Times New Roman"/>
          <w:lang w:val="es-ES"/>
        </w:rPr>
        <w:t xml:space="preserve"> agrega que entre ambos grupos de pacientes no se realizó </w:t>
      </w:r>
      <w:proofErr w:type="spellStart"/>
      <w:r w:rsidRPr="00F704FC">
        <w:rPr>
          <w:rFonts w:ascii="Times New Roman" w:hAnsi="Times New Roman" w:cs="Times New Roman"/>
          <w:lang w:val="es-ES"/>
        </w:rPr>
        <w:t>matching</w:t>
      </w:r>
      <w:proofErr w:type="spellEnd"/>
      <w:r w:rsidRPr="00F704FC">
        <w:rPr>
          <w:rFonts w:ascii="Times New Roman" w:hAnsi="Times New Roman" w:cs="Times New Roman"/>
          <w:lang w:val="es-ES"/>
        </w:rPr>
        <w:t xml:space="preserve"> de los mismos.</w:t>
      </w:r>
    </w:p>
    <w:p w14:paraId="65FD55D5" w14:textId="207DB5FA" w:rsidR="00F704FC" w:rsidRPr="00F704FC" w:rsidRDefault="00F704FC" w:rsidP="00F704FC">
      <w:pPr>
        <w:pStyle w:val="Prrafodelista"/>
        <w:numPr>
          <w:ilvl w:val="0"/>
          <w:numId w:val="2"/>
        </w:numPr>
        <w:jc w:val="both"/>
        <w:rPr>
          <w:rFonts w:ascii="Times New Roman" w:hAnsi="Times New Roman" w:cs="Times New Roman"/>
          <w:lang w:val="es-ES"/>
        </w:rPr>
      </w:pPr>
      <w:r w:rsidRPr="00F704FC">
        <w:rPr>
          <w:rFonts w:ascii="Times New Roman" w:hAnsi="Times New Roman" w:cs="Times New Roman"/>
          <w:lang w:val="es-ES"/>
        </w:rPr>
        <w:t xml:space="preserve">En la </w:t>
      </w:r>
      <w:r w:rsidRPr="00F704FC">
        <w:rPr>
          <w:rFonts w:ascii="Times New Roman" w:hAnsi="Times New Roman" w:cs="Times New Roman"/>
          <w:b/>
          <w:lang w:val="es-ES"/>
        </w:rPr>
        <w:t>Tabla Nª2</w:t>
      </w:r>
      <w:r w:rsidRPr="00F704FC">
        <w:rPr>
          <w:rFonts w:ascii="Times New Roman" w:hAnsi="Times New Roman" w:cs="Times New Roman"/>
          <w:lang w:val="es-ES"/>
        </w:rPr>
        <w:t xml:space="preserve"> la Dra. González señala que los datos aportados son de forma genérica ya que se incluyeron todos los pacientes sin discriminar si se encontraban en la fase aguda o sub aguda de la enfermedad, por lo que la Dra. Parra acota que en dicha tabla el único apartado en el que se diferencian ambos grupos es cuando se hace énfasis en el cumplimiento del tratamiento de forma retardada. </w:t>
      </w:r>
    </w:p>
    <w:p w14:paraId="42D2B760" w14:textId="62CAE6D7" w:rsidR="00F704FC" w:rsidRPr="00F704FC" w:rsidRDefault="00F704FC" w:rsidP="00F704FC">
      <w:pPr>
        <w:pStyle w:val="Prrafodelista"/>
        <w:numPr>
          <w:ilvl w:val="0"/>
          <w:numId w:val="2"/>
        </w:numPr>
        <w:jc w:val="both"/>
        <w:rPr>
          <w:rFonts w:ascii="Times New Roman" w:hAnsi="Times New Roman" w:cs="Times New Roman"/>
          <w:lang w:val="es-ES"/>
        </w:rPr>
      </w:pPr>
      <w:r w:rsidRPr="00F704FC">
        <w:rPr>
          <w:rFonts w:ascii="Times New Roman" w:hAnsi="Times New Roman" w:cs="Times New Roman"/>
          <w:lang w:val="es-ES"/>
        </w:rPr>
        <w:t xml:space="preserve">Asimismo en relación a la </w:t>
      </w:r>
      <w:r w:rsidRPr="00F704FC">
        <w:rPr>
          <w:rFonts w:ascii="Times New Roman" w:hAnsi="Times New Roman" w:cs="Times New Roman"/>
          <w:b/>
          <w:lang w:val="es-ES"/>
        </w:rPr>
        <w:t>Tabla Nª4</w:t>
      </w:r>
      <w:r w:rsidRPr="00F704FC">
        <w:rPr>
          <w:rFonts w:ascii="Times New Roman" w:hAnsi="Times New Roman" w:cs="Times New Roman"/>
          <w:lang w:val="es-ES"/>
        </w:rPr>
        <w:t xml:space="preserve"> la Dra. Pérez hace referencia a que fueron agrupados todos los pacientes por lo que la Dra. González señala debido a este motivo su escasa utilidad en cuanto a la interrogante de ciclo, ya que el planteamiento es evaluar el comportamiento de los pacientes que recibieron tratamiento de forma tardía y cuál fue su perfil, y en esta tabla se establece el comportamiento de todos los pacientes que reciben inmunoglobulina de forma general, en este sentido la Dra. Díaz recalca la evidente disminución del número de pacientes </w:t>
      </w:r>
      <w:r w:rsidRPr="00F704FC">
        <w:rPr>
          <w:rFonts w:ascii="Times New Roman" w:hAnsi="Times New Roman" w:cs="Times New Roman"/>
          <w:lang w:val="es-ES"/>
        </w:rPr>
        <w:lastRenderedPageBreak/>
        <w:t>a lo largo del estudio en comparación al número de los mismos al momento inicial de dicha investigación.</w:t>
      </w:r>
    </w:p>
    <w:p w14:paraId="28D1C667" w14:textId="589E0F30" w:rsidR="00F704FC" w:rsidRPr="00F704FC" w:rsidRDefault="00F704FC" w:rsidP="00F704FC">
      <w:pPr>
        <w:pStyle w:val="Prrafodelista"/>
        <w:numPr>
          <w:ilvl w:val="0"/>
          <w:numId w:val="2"/>
        </w:numPr>
        <w:jc w:val="both"/>
        <w:rPr>
          <w:rFonts w:ascii="Times New Roman" w:hAnsi="Times New Roman" w:cs="Times New Roman"/>
          <w:lang w:val="es-ES"/>
        </w:rPr>
      </w:pPr>
      <w:r w:rsidRPr="00F704FC">
        <w:rPr>
          <w:rFonts w:ascii="Times New Roman" w:hAnsi="Times New Roman" w:cs="Times New Roman"/>
          <w:lang w:val="es-ES"/>
        </w:rPr>
        <w:t xml:space="preserve">La Dra. Sánchez aclara que el objetivo del estudio está dividido en dos partes, en primera instancia se plantea evaluar el comportamiento al recibir tratamiento con inmunoglobulina antes y después del día 10 de enfermedad actual, y en segundo lugar se plantea evaluar factores predisponentes para el desarrollo de las lesiones coronarias. </w:t>
      </w:r>
    </w:p>
    <w:p w14:paraId="12B51FCF" w14:textId="76D31EC0" w:rsidR="00F704FC" w:rsidRPr="00F704FC" w:rsidRDefault="00F704FC" w:rsidP="00F704FC">
      <w:pPr>
        <w:pStyle w:val="Prrafodelista"/>
        <w:numPr>
          <w:ilvl w:val="0"/>
          <w:numId w:val="2"/>
        </w:numPr>
        <w:jc w:val="both"/>
        <w:rPr>
          <w:rFonts w:ascii="Times New Roman" w:hAnsi="Times New Roman" w:cs="Times New Roman"/>
          <w:lang w:val="es-ES"/>
        </w:rPr>
      </w:pPr>
      <w:r w:rsidRPr="00F704FC">
        <w:rPr>
          <w:rFonts w:ascii="Times New Roman" w:hAnsi="Times New Roman" w:cs="Times New Roman"/>
          <w:lang w:val="es-ES"/>
        </w:rPr>
        <w:t xml:space="preserve">La Dra. Díaz destaca la importancia de la </w:t>
      </w:r>
      <w:r w:rsidRPr="00F704FC">
        <w:rPr>
          <w:rFonts w:ascii="Times New Roman" w:hAnsi="Times New Roman" w:cs="Times New Roman"/>
          <w:b/>
          <w:lang w:val="es-ES"/>
        </w:rPr>
        <w:t xml:space="preserve">tabla </w:t>
      </w:r>
      <w:proofErr w:type="spellStart"/>
      <w:r w:rsidRPr="00F704FC">
        <w:rPr>
          <w:rFonts w:ascii="Times New Roman" w:hAnsi="Times New Roman" w:cs="Times New Roman"/>
          <w:b/>
          <w:lang w:val="es-ES"/>
        </w:rPr>
        <w:t>Nª</w:t>
      </w:r>
      <w:proofErr w:type="spellEnd"/>
      <w:r w:rsidRPr="00F704FC">
        <w:rPr>
          <w:rFonts w:ascii="Times New Roman" w:hAnsi="Times New Roman" w:cs="Times New Roman"/>
          <w:b/>
          <w:lang w:val="es-ES"/>
        </w:rPr>
        <w:t xml:space="preserve"> 4 </w:t>
      </w:r>
      <w:r w:rsidRPr="00F704FC">
        <w:rPr>
          <w:rFonts w:ascii="Times New Roman" w:hAnsi="Times New Roman" w:cs="Times New Roman"/>
          <w:lang w:val="es-ES"/>
        </w:rPr>
        <w:t>en cuanto al reconocimiento de los paraclínicos alterados que pudieran estar relacionados con la presencia de aneurismas coronarios, resaltando que en aquellos pacientes con enfermedad de Kawasaki incompleta el diagnóstico clínico es más difícil por lo que se debe complementar el diagnostico con paraclínicos para tomar la decisión del inicio terapéutico.</w:t>
      </w:r>
    </w:p>
    <w:p w14:paraId="4991F921" w14:textId="35DD9876" w:rsidR="00F704FC" w:rsidRPr="00F704FC" w:rsidRDefault="00F704FC" w:rsidP="00F704FC">
      <w:pPr>
        <w:pStyle w:val="Prrafodelista"/>
        <w:numPr>
          <w:ilvl w:val="0"/>
          <w:numId w:val="2"/>
        </w:numPr>
        <w:jc w:val="both"/>
        <w:rPr>
          <w:rFonts w:ascii="Times New Roman" w:hAnsi="Times New Roman" w:cs="Times New Roman"/>
          <w:lang w:val="es-ES"/>
        </w:rPr>
      </w:pPr>
      <w:r w:rsidRPr="00F704FC">
        <w:rPr>
          <w:rFonts w:ascii="Times New Roman" w:hAnsi="Times New Roman" w:cs="Times New Roman"/>
          <w:lang w:val="es-ES"/>
        </w:rPr>
        <w:t xml:space="preserve">En cuanto a la lista de cotejo: la Dra. González enfatiza que dicho artículo no cumple con los criterios de validez, ya que de 8 </w:t>
      </w:r>
      <w:r w:rsidRPr="00F704FC">
        <w:rPr>
          <w:rFonts w:ascii="Times New Roman" w:hAnsi="Times New Roman" w:cs="Times New Roman"/>
          <w:lang w:val="es-ES"/>
        </w:rPr>
        <w:t>ítems</w:t>
      </w:r>
      <w:r w:rsidRPr="00F704FC">
        <w:rPr>
          <w:rFonts w:ascii="Times New Roman" w:hAnsi="Times New Roman" w:cs="Times New Roman"/>
          <w:lang w:val="es-ES"/>
        </w:rPr>
        <w:t xml:space="preserve"> solo cumple con 3, lo que no lo hace útil a la hora de tomar decisiones en base a la interrogante del ciclo. </w:t>
      </w:r>
      <w:r w:rsidRPr="00F704FC">
        <w:rPr>
          <w:rFonts w:ascii="Times New Roman" w:hAnsi="Times New Roman" w:cs="Times New Roman"/>
          <w:lang w:val="es-ES"/>
        </w:rPr>
        <w:t>Asimismo,</w:t>
      </w:r>
      <w:r w:rsidRPr="00F704FC">
        <w:rPr>
          <w:rFonts w:ascii="Times New Roman" w:hAnsi="Times New Roman" w:cs="Times New Roman"/>
          <w:lang w:val="es-ES"/>
        </w:rPr>
        <w:t xml:space="preserve"> el Dr. Ortiz señala la importancia del diagnóstico precoz de dicha patología para el inicio oportuno del tratamiento con inmunoglobulina, sin esperar la aparición de lesiones coronarias.</w:t>
      </w:r>
    </w:p>
    <w:p w14:paraId="7EBCC30C" w14:textId="293C0286" w:rsidR="00CF46E7" w:rsidRPr="00F704FC" w:rsidRDefault="00F704FC" w:rsidP="00F704FC">
      <w:pPr>
        <w:pStyle w:val="Prrafodelista"/>
        <w:numPr>
          <w:ilvl w:val="0"/>
          <w:numId w:val="1"/>
        </w:numPr>
        <w:jc w:val="both"/>
        <w:rPr>
          <w:rFonts w:ascii="Times New Roman" w:hAnsi="Times New Roman" w:cs="Times New Roman"/>
          <w:lang w:val="es-ES"/>
        </w:rPr>
      </w:pPr>
      <w:r w:rsidRPr="00F704FC">
        <w:rPr>
          <w:rFonts w:ascii="Times New Roman" w:hAnsi="Times New Roman" w:cs="Times New Roman"/>
          <w:lang w:val="es-ES"/>
        </w:rPr>
        <w:t>Finalmente, la Dra. Falcone concluye que el artículo no responde la interrogante del ciclo así mismo no se evidencio reducción de la incidencia de aneurismas coronarios con la administración de la inmunoglobulina en la fase sub aguda de la enfermedad.</w:t>
      </w:r>
    </w:p>
    <w:sectPr w:rsidR="00CF46E7" w:rsidRPr="00F704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DD3"/>
    <w:multiLevelType w:val="hybridMultilevel"/>
    <w:tmpl w:val="CF00B1E6"/>
    <w:lvl w:ilvl="0" w:tplc="2048D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A76AB"/>
    <w:multiLevelType w:val="hybridMultilevel"/>
    <w:tmpl w:val="B3927276"/>
    <w:lvl w:ilvl="0" w:tplc="79541C6C">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874732094">
    <w:abstractNumId w:val="0"/>
  </w:num>
  <w:num w:numId="2" w16cid:durableId="94334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12"/>
    <w:rsid w:val="00063F12"/>
    <w:rsid w:val="002056F8"/>
    <w:rsid w:val="0062204A"/>
    <w:rsid w:val="0082341D"/>
    <w:rsid w:val="009B34BE"/>
    <w:rsid w:val="00BF24B2"/>
    <w:rsid w:val="00C57CB4"/>
    <w:rsid w:val="00CF46E7"/>
    <w:rsid w:val="00D54EF9"/>
    <w:rsid w:val="00F704FC"/>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98EB"/>
  <w15:chartTrackingRefBased/>
  <w15:docId w15:val="{A46DF09D-7D09-4FDA-970C-E0C2B49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4</cp:revision>
  <dcterms:created xsi:type="dcterms:W3CDTF">2022-06-07T02:28:00Z</dcterms:created>
  <dcterms:modified xsi:type="dcterms:W3CDTF">2022-06-09T00:55:00Z</dcterms:modified>
</cp:coreProperties>
</file>