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604"/>
      </w:tblGrid>
      <w:tr w:rsidR="00A66B37" w:rsidRPr="00861837" w:rsidTr="005B1F96">
        <w:trPr>
          <w:trHeight w:val="1096"/>
        </w:trPr>
        <w:tc>
          <w:tcPr>
            <w:tcW w:w="0" w:type="auto"/>
            <w:gridSpan w:val="2"/>
            <w:shd w:val="clear" w:color="auto" w:fill="A0B5D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F00E7B" w:rsidRDefault="00926DC1" w:rsidP="0066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F00E7B">
              <w:rPr>
                <w:rFonts w:ascii="Arial" w:hAnsi="Arial" w:cs="Arial"/>
                <w:b/>
                <w:szCs w:val="20"/>
                <w:lang w:val="en-US"/>
              </w:rPr>
              <w:t xml:space="preserve">Use of blood pressure lowering drugs in the prevention of cardiovascular disease: meta-analysis of 147 </w:t>
            </w:r>
            <w:proofErr w:type="spellStart"/>
            <w:r w:rsidRPr="00F00E7B">
              <w:rPr>
                <w:rFonts w:ascii="Arial" w:hAnsi="Arial" w:cs="Arial"/>
                <w:b/>
                <w:szCs w:val="20"/>
                <w:lang w:val="en-US"/>
              </w:rPr>
              <w:t>randomised</w:t>
            </w:r>
            <w:proofErr w:type="spellEnd"/>
            <w:r w:rsidRPr="00F00E7B">
              <w:rPr>
                <w:rFonts w:ascii="Arial" w:hAnsi="Arial" w:cs="Arial"/>
                <w:b/>
                <w:szCs w:val="20"/>
                <w:lang w:val="en-US"/>
              </w:rPr>
              <w:t xml:space="preserve"> trials in the context of expectations from prospective </w:t>
            </w:r>
            <w:r w:rsidR="00521201" w:rsidRPr="00F00E7B">
              <w:rPr>
                <w:rFonts w:ascii="Arial" w:hAnsi="Arial" w:cs="Arial"/>
                <w:b/>
                <w:szCs w:val="20"/>
                <w:lang w:val="en-US"/>
              </w:rPr>
              <w:t>epidemiological studies BMJ 2009;338:b1665</w:t>
            </w:r>
          </w:p>
          <w:p w:rsidR="00A66B37" w:rsidRPr="00861837" w:rsidRDefault="00A66B37" w:rsidP="00660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Presentado por la Dra. Rebecca </w:t>
            </w:r>
            <w:proofErr w:type="spellStart"/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Sa</w:t>
            </w:r>
            <w:r w:rsidR="00926DC1"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</w:t>
            </w: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chez</w:t>
            </w:r>
            <w:proofErr w:type="spellEnd"/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.</w:t>
            </w:r>
          </w:p>
          <w:p w:rsidR="00A66B37" w:rsidRPr="00861837" w:rsidRDefault="00926DC1" w:rsidP="00660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Grupo 6: Dres.  Irvin Terán, Joel Juárez, María </w:t>
            </w:r>
            <w:proofErr w:type="spellStart"/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Caon</w:t>
            </w:r>
            <w:proofErr w:type="spellEnd"/>
          </w:p>
        </w:tc>
      </w:tr>
      <w:tr w:rsidR="00A66B37" w:rsidRPr="00861837" w:rsidTr="005B1F96">
        <w:trPr>
          <w:trHeight w:val="201"/>
        </w:trPr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14670E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Tipo</w:t>
            </w:r>
          </w:p>
        </w:tc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926DC1" w:rsidP="00660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Meta-análisis</w:t>
            </w:r>
          </w:p>
        </w:tc>
      </w:tr>
      <w:tr w:rsidR="00861837" w:rsidRPr="00861837" w:rsidTr="005B1F96">
        <w:trPr>
          <w:trHeight w:val="816"/>
        </w:trPr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61837" w:rsidRPr="00861837" w:rsidRDefault="00861837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Objetivo</w:t>
            </w:r>
          </w:p>
        </w:tc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B081E" w:rsidRPr="00861837" w:rsidRDefault="00707F7F" w:rsidP="00660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Determinar la eficacia cuantitativa de los diferentes grupos de fármacos que disminuyen la PA para prevenir</w:t>
            </w:r>
            <w:r w:rsid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los eventos de EC y accidente cerebrovascular </w:t>
            </w: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 decidir quiénes deben recibir tratamiento.</w:t>
            </w:r>
          </w:p>
          <w:p w:rsidR="00861837" w:rsidRPr="00861837" w:rsidRDefault="00861837" w:rsidP="00660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A66B37" w:rsidRPr="00861837" w:rsidTr="005B1F96">
        <w:trPr>
          <w:trHeight w:val="1029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521201" w:rsidP="00A66B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CRITERIOS DE INCLUSION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521201" w:rsidP="0066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Ensayos aleatorizados de medicamentos para reducir la PA en los que se registraron eventos de EC o ECV</w:t>
            </w:r>
            <w:r w:rsidR="00861837"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.</w:t>
            </w:r>
            <w:r w:rsidR="00861837" w:rsidRPr="00861837">
              <w:rPr>
                <w:rFonts w:ascii="Arial" w:eastAsia="Tahoma" w:hAnsi="Arial" w:cs="Arial"/>
                <w:color w:val="000000" w:themeColor="dark1"/>
                <w:kern w:val="24"/>
                <w:sz w:val="20"/>
                <w:szCs w:val="20"/>
                <w:lang w:eastAsia="es-VE"/>
              </w:rPr>
              <w:t xml:space="preserve"> </w:t>
            </w:r>
            <w:r w:rsidR="00861837" w:rsidRPr="00861837">
              <w:rPr>
                <w:rFonts w:ascii="Arial" w:eastAsia="Times New Roman" w:hAnsi="Arial" w:cs="Arial"/>
                <w:sz w:val="20"/>
                <w:szCs w:val="20"/>
              </w:rPr>
              <w:t>Ensayos aleatorizados independientemente de la edad, el estado de la enfermedad, la presión arterial antes del tratamiento o el uso de otros medicamentos de los participantes.</w:t>
            </w:r>
          </w:p>
        </w:tc>
      </w:tr>
      <w:tr w:rsidR="00A66B37" w:rsidRPr="00861837" w:rsidTr="005B1F96">
        <w:trPr>
          <w:trHeight w:val="1029"/>
        </w:trPr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9C1B44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CRITERIOS DE EXCLUSIÓN</w:t>
            </w:r>
          </w:p>
        </w:tc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861837" w:rsidP="0066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3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Ensayos no aleatorizados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. </w:t>
            </w:r>
            <w:r w:rsidRPr="00861837">
              <w:rPr>
                <w:rFonts w:ascii="Arial" w:eastAsia="Times New Roman" w:hAnsi="Arial" w:cs="Arial"/>
                <w:sz w:val="20"/>
                <w:szCs w:val="20"/>
              </w:rPr>
              <w:t xml:space="preserve">Ensayos en los que los </w:t>
            </w:r>
            <w:r w:rsidRPr="008618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grupos de tratamiento </w:t>
            </w:r>
            <w:r w:rsidRPr="00861837">
              <w:rPr>
                <w:rFonts w:ascii="Arial" w:eastAsia="Times New Roman" w:hAnsi="Arial" w:cs="Arial"/>
                <w:sz w:val="20"/>
                <w:szCs w:val="20"/>
              </w:rPr>
              <w:t xml:space="preserve">pero no los </w:t>
            </w:r>
            <w:r w:rsidRPr="008618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grupos de control  </w:t>
            </w:r>
            <w:r w:rsidRPr="00861837">
              <w:rPr>
                <w:rFonts w:ascii="Arial" w:eastAsia="Times New Roman" w:hAnsi="Arial" w:cs="Arial"/>
                <w:sz w:val="20"/>
                <w:szCs w:val="20"/>
              </w:rPr>
              <w:t>tuvieron otras intervenciones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61837">
              <w:rPr>
                <w:rFonts w:ascii="Tahoma" w:eastAsia="Tahoma" w:hAnsi="Tahoma" w:cs="Tahoma"/>
                <w:color w:val="000000" w:themeColor="text1"/>
                <w:kern w:val="24"/>
                <w:sz w:val="44"/>
                <w:szCs w:val="44"/>
                <w:lang w:eastAsia="es-VE"/>
              </w:rPr>
              <w:t xml:space="preserve"> </w:t>
            </w:r>
            <w:r w:rsidRPr="00861837">
              <w:rPr>
                <w:rFonts w:ascii="Arial" w:eastAsia="Times New Roman" w:hAnsi="Arial" w:cs="Arial"/>
                <w:sz w:val="20"/>
                <w:szCs w:val="20"/>
              </w:rPr>
              <w:t>Ensayos en pacientes con IRC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61837">
              <w:rPr>
                <w:rFonts w:ascii="Tahoma" w:eastAsia="Tahoma" w:hAnsi="Tahoma" w:cs="Tahoma"/>
                <w:color w:val="000000" w:themeColor="text1"/>
                <w:kern w:val="24"/>
                <w:sz w:val="44"/>
                <w:szCs w:val="44"/>
                <w:lang w:eastAsia="es-VE"/>
              </w:rPr>
              <w:t xml:space="preserve"> </w:t>
            </w:r>
            <w:r w:rsidRPr="00861837">
              <w:rPr>
                <w:rFonts w:ascii="Arial" w:eastAsia="Times New Roman" w:hAnsi="Arial" w:cs="Arial"/>
                <w:sz w:val="20"/>
                <w:szCs w:val="20"/>
              </w:rPr>
              <w:t>Ensayos en los que se registraron &lt; 5 eventos cardiovasculares y ECV o la duración del tratamiento fue   &lt; a 6 meses</w:t>
            </w:r>
          </w:p>
        </w:tc>
      </w:tr>
      <w:tr w:rsidR="00660691" w:rsidRPr="00861837" w:rsidTr="005B1F96">
        <w:trPr>
          <w:trHeight w:val="1617"/>
        </w:trPr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60691" w:rsidRPr="00861837" w:rsidRDefault="00660691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LIMITANTES </w:t>
            </w:r>
          </w:p>
        </w:tc>
        <w:tc>
          <w:tcPr>
            <w:tcW w:w="0" w:type="auto"/>
            <w:shd w:val="clear" w:color="auto" w:fill="D1D7E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869D0" w:rsidRDefault="00660691" w:rsidP="006606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</w:pPr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 xml:space="preserve">Las posibles limitaciones de este </w:t>
            </w:r>
            <w:proofErr w:type="spellStart"/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>metanálisis</w:t>
            </w:r>
            <w:proofErr w:type="spellEnd"/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 xml:space="preserve"> surgen de no tener datos individuales del paciente de cada ensayo</w:t>
            </w:r>
          </w:p>
          <w:p w:rsidR="00660691" w:rsidRPr="00861837" w:rsidRDefault="00660691" w:rsidP="006606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 xml:space="preserve">El hecho de que este </w:t>
            </w:r>
            <w:proofErr w:type="spellStart"/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>metaanálisis</w:t>
            </w:r>
            <w:proofErr w:type="spellEnd"/>
            <w:r w:rsidRPr="00660691">
              <w:rPr>
                <w:rFonts w:ascii="Arial" w:eastAsia="Times New Roman" w:hAnsi="Arial" w:cs="Arial"/>
                <w:sz w:val="20"/>
                <w:szCs w:val="20"/>
                <w:lang w:val="es-ES" w:eastAsia="es-VE"/>
              </w:rPr>
              <w:t xml:space="preserve"> fue basado en ensayos que variaron de muchas maneras (por ejemplo, con respecto a la PA previa al tratamiento, enfermedad previa, muestra de la población) puede considerarse una limitación, </w:t>
            </w:r>
            <w:r w:rsidRPr="0066069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lo que posiblemente conduzca a un error aleatorio que oscurezca las diferencias reales</w:t>
            </w:r>
          </w:p>
        </w:tc>
      </w:tr>
      <w:tr w:rsidR="00A66B37" w:rsidRPr="00861837" w:rsidTr="005B1F9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14670E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14670E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A66B37" w:rsidRPr="00861837" w:rsidTr="005B1F96">
        <w:trPr>
          <w:trHeight w:val="138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670E" w:rsidRPr="00861837" w:rsidRDefault="0014670E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951" w:rsidRPr="00861837" w:rsidRDefault="00B37951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  <w:tr w:rsidR="00252542" w:rsidRPr="00861837" w:rsidTr="005B1F96">
        <w:trPr>
          <w:trHeight w:val="2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52542" w:rsidRPr="00861837" w:rsidRDefault="00252542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52542" w:rsidRPr="00861837" w:rsidRDefault="00252542" w:rsidP="00A6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</w:p>
        </w:tc>
      </w:tr>
    </w:tbl>
    <w:p w:rsidR="0014670E" w:rsidRPr="00861837" w:rsidRDefault="0014670E" w:rsidP="00A66B3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s-VE"/>
        </w:rPr>
      </w:pPr>
    </w:p>
    <w:p w:rsidR="0014670E" w:rsidRPr="00861837" w:rsidRDefault="0014670E" w:rsidP="00553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VE"/>
        </w:rPr>
      </w:pPr>
      <w:r w:rsidRPr="00861837">
        <w:rPr>
          <w:rFonts w:ascii="Arial" w:eastAsia="Times New Roman" w:hAnsi="Arial" w:cs="Arial"/>
          <w:b/>
          <w:sz w:val="20"/>
          <w:szCs w:val="20"/>
          <w:lang w:eastAsia="es-VE"/>
        </w:rPr>
        <w:t xml:space="preserve">DISCUSÓN </w:t>
      </w:r>
    </w:p>
    <w:p w:rsidR="00AB081E" w:rsidRPr="00861837" w:rsidRDefault="00252542" w:rsidP="00861837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VE"/>
        </w:rPr>
      </w:pPr>
      <w:r>
        <w:rPr>
          <w:rFonts w:ascii="Arial" w:eastAsia="Times New Roman" w:hAnsi="Arial" w:cs="Arial"/>
          <w:sz w:val="20"/>
          <w:szCs w:val="20"/>
          <w:lang w:eastAsia="es-VE"/>
        </w:rPr>
        <w:t>Este es el</w:t>
      </w:r>
      <w:r w:rsidR="00861837" w:rsidRPr="00861837">
        <w:rPr>
          <w:rFonts w:ascii="Arial" w:eastAsia="Times New Roman" w:hAnsi="Arial" w:cs="Arial"/>
          <w:sz w:val="20"/>
          <w:szCs w:val="20"/>
          <w:lang w:eastAsia="es-VE"/>
        </w:rPr>
        <w:t xml:space="preserve"> análisis</w:t>
      </w:r>
      <w:r w:rsidR="00707F7F" w:rsidRPr="00861837">
        <w:rPr>
          <w:rFonts w:ascii="Arial" w:eastAsia="Times New Roman" w:hAnsi="Arial" w:cs="Arial"/>
          <w:sz w:val="20"/>
          <w:szCs w:val="20"/>
          <w:lang w:eastAsia="es-VE"/>
        </w:rPr>
        <w:t xml:space="preserve"> más grande de ensayos aleatorizados de reducción de la</w:t>
      </w:r>
      <w:r>
        <w:rPr>
          <w:rFonts w:ascii="Arial" w:eastAsia="Times New Roman" w:hAnsi="Arial" w:cs="Arial"/>
          <w:sz w:val="20"/>
          <w:szCs w:val="20"/>
          <w:lang w:eastAsia="es-VE"/>
        </w:rPr>
        <w:t xml:space="preserve"> presión arterial hasta la fecha (2007)</w:t>
      </w:r>
      <w:r w:rsidR="00707F7F" w:rsidRPr="00861837">
        <w:rPr>
          <w:rFonts w:ascii="Arial" w:eastAsia="Times New Roman" w:hAnsi="Arial" w:cs="Arial"/>
          <w:sz w:val="20"/>
          <w:szCs w:val="20"/>
          <w:lang w:eastAsia="es-V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s-VE"/>
        </w:rPr>
        <w:t xml:space="preserve">donde </w:t>
      </w:r>
      <w:r w:rsidR="00707F7F" w:rsidRPr="00861837">
        <w:rPr>
          <w:rFonts w:ascii="Arial" w:eastAsia="Times New Roman" w:hAnsi="Arial" w:cs="Arial"/>
          <w:sz w:val="20"/>
          <w:szCs w:val="20"/>
          <w:lang w:eastAsia="es-VE"/>
        </w:rPr>
        <w:t xml:space="preserve">muestra que la reducción de la PAS en 10 mm Hg o la PAD en 5 mm Hg usando cualquiera de las principales clases de medicamentos para reducir la presión arterial </w:t>
      </w:r>
      <w:r w:rsidR="00F00E7B">
        <w:rPr>
          <w:rFonts w:ascii="Arial" w:eastAsia="Times New Roman" w:hAnsi="Arial" w:cs="Arial"/>
          <w:sz w:val="20"/>
          <w:szCs w:val="20"/>
          <w:lang w:eastAsia="es-VE"/>
        </w:rPr>
        <w:t>mostró una</w:t>
      </w:r>
      <w:r>
        <w:rPr>
          <w:rFonts w:ascii="Arial" w:eastAsia="Times New Roman" w:hAnsi="Arial" w:cs="Arial"/>
          <w:sz w:val="20"/>
          <w:szCs w:val="20"/>
          <w:lang w:eastAsia="es-VE"/>
        </w:rPr>
        <w:t xml:space="preserve"> </w:t>
      </w:r>
      <w:r w:rsidR="00F00E7B">
        <w:rPr>
          <w:rFonts w:ascii="Arial" w:eastAsia="Times New Roman" w:hAnsi="Arial" w:cs="Arial"/>
          <w:sz w:val="20"/>
          <w:szCs w:val="20"/>
          <w:lang w:eastAsia="es-VE"/>
        </w:rPr>
        <w:t>reducción de</w:t>
      </w:r>
      <w:r w:rsidR="00707F7F" w:rsidRPr="00861837">
        <w:rPr>
          <w:rFonts w:ascii="Arial" w:eastAsia="Times New Roman" w:hAnsi="Arial" w:cs="Arial"/>
          <w:sz w:val="20"/>
          <w:szCs w:val="20"/>
          <w:lang w:eastAsia="es-VE"/>
        </w:rPr>
        <w:t xml:space="preserve"> los eventos de EAC (fatales y no fatales) en alrededor de 1/4 parte y ECV en aproximadamente 1/3 parte, independientemente de la presencia o ausencia de enfermedad vascular y de la presión arterial antes del tratamiento.</w:t>
      </w:r>
    </w:p>
    <w:p w:rsidR="00553B0F" w:rsidRPr="00861837" w:rsidRDefault="00553B0F" w:rsidP="0025254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VE"/>
        </w:rPr>
      </w:pPr>
    </w:p>
    <w:p w:rsidR="000D61E0" w:rsidRDefault="00A66B37" w:rsidP="00B340B0">
      <w:pPr>
        <w:spacing w:after="0"/>
        <w:rPr>
          <w:rFonts w:ascii="Arial" w:hAnsi="Arial" w:cs="Arial"/>
          <w:b/>
          <w:sz w:val="20"/>
          <w:szCs w:val="20"/>
        </w:rPr>
      </w:pPr>
      <w:r w:rsidRPr="00861837">
        <w:rPr>
          <w:rFonts w:ascii="Arial" w:hAnsi="Arial" w:cs="Arial"/>
          <w:b/>
          <w:sz w:val="20"/>
          <w:szCs w:val="20"/>
        </w:rPr>
        <w:t>CONCLUSION</w:t>
      </w:r>
    </w:p>
    <w:p w:rsidR="00252542" w:rsidRDefault="00252542" w:rsidP="0025254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resaltar en el hecho puntual, que el </w:t>
      </w:r>
      <w:proofErr w:type="spellStart"/>
      <w:r>
        <w:rPr>
          <w:rFonts w:ascii="Arial" w:hAnsi="Arial" w:cs="Arial"/>
          <w:sz w:val="20"/>
          <w:szCs w:val="20"/>
        </w:rPr>
        <w:t>metaanalisis</w:t>
      </w:r>
      <w:proofErr w:type="spellEnd"/>
      <w:r>
        <w:rPr>
          <w:rFonts w:ascii="Arial" w:hAnsi="Arial" w:cs="Arial"/>
          <w:sz w:val="20"/>
          <w:szCs w:val="20"/>
        </w:rPr>
        <w:t xml:space="preserve"> nos muestra unas cifras</w:t>
      </w:r>
      <w:r w:rsidRPr="00252542">
        <w:rPr>
          <w:rFonts w:ascii="Arial" w:hAnsi="Arial" w:cs="Arial"/>
          <w:sz w:val="20"/>
          <w:szCs w:val="20"/>
        </w:rPr>
        <w:t xml:space="preserve"> de presión arterial pre-tratamiento,</w:t>
      </w:r>
      <w:r w:rsidR="00734EDB">
        <w:rPr>
          <w:rFonts w:ascii="Arial" w:hAnsi="Arial" w:cs="Arial"/>
          <w:sz w:val="20"/>
          <w:szCs w:val="20"/>
        </w:rPr>
        <w:t xml:space="preserve"> cuando los</w:t>
      </w:r>
      <w:r w:rsidRPr="00252542">
        <w:rPr>
          <w:rFonts w:ascii="Arial" w:hAnsi="Arial" w:cs="Arial"/>
          <w:sz w:val="20"/>
          <w:szCs w:val="20"/>
        </w:rPr>
        <w:t xml:space="preserve"> autores </w:t>
      </w:r>
      <w:r>
        <w:rPr>
          <w:rFonts w:ascii="Arial" w:hAnsi="Arial" w:cs="Arial"/>
          <w:sz w:val="20"/>
          <w:szCs w:val="20"/>
        </w:rPr>
        <w:t xml:space="preserve"> declaran que una de las limitantes del estudio era no poseer datos individuales de cada paciente.</w:t>
      </w:r>
      <w:r w:rsidRPr="00252542">
        <w:rPr>
          <w:rFonts w:ascii="Arial" w:hAnsi="Arial" w:cs="Arial"/>
          <w:sz w:val="20"/>
          <w:szCs w:val="20"/>
        </w:rPr>
        <w:t xml:space="preserve"> Por otra parte no nos queda claro el hecho de que incluyeron interpretac</w:t>
      </w:r>
      <w:r w:rsidR="00734EDB">
        <w:rPr>
          <w:rFonts w:ascii="Arial" w:hAnsi="Arial" w:cs="Arial"/>
          <w:sz w:val="20"/>
          <w:szCs w:val="20"/>
        </w:rPr>
        <w:t xml:space="preserve">ión de estudios no aleatorizado y que </w:t>
      </w:r>
      <w:r>
        <w:rPr>
          <w:rFonts w:ascii="Arial" w:hAnsi="Arial" w:cs="Arial"/>
          <w:sz w:val="20"/>
          <w:szCs w:val="20"/>
        </w:rPr>
        <w:t xml:space="preserve"> además</w:t>
      </w:r>
      <w:r w:rsidR="00734ED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al momento de interpretar los resultados de</w:t>
      </w:r>
      <w:r w:rsidR="00734EDB">
        <w:rPr>
          <w:rFonts w:ascii="Arial" w:hAnsi="Arial" w:cs="Arial"/>
          <w:sz w:val="20"/>
          <w:szCs w:val="20"/>
        </w:rPr>
        <w:t xml:space="preserve">l riesgo relativo en relación a la </w:t>
      </w:r>
      <w:r>
        <w:rPr>
          <w:rFonts w:ascii="Arial" w:hAnsi="Arial" w:cs="Arial"/>
          <w:sz w:val="20"/>
          <w:szCs w:val="20"/>
        </w:rPr>
        <w:t xml:space="preserve"> reducción de eventos por</w:t>
      </w:r>
      <w:r w:rsidR="00734ED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edad, cantidad de droga usada y cifras de presión arterial sistólica y diastólica no se muestran</w:t>
      </w:r>
      <w:r w:rsidRPr="00252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respectivos intervalos de confianza</w:t>
      </w:r>
      <w:r w:rsidR="00734EDB">
        <w:rPr>
          <w:rFonts w:ascii="Arial" w:hAnsi="Arial" w:cs="Arial"/>
          <w:sz w:val="20"/>
          <w:szCs w:val="20"/>
        </w:rPr>
        <w:t>, en consecuencia no nos permite obtener conclusiones bien fundamentadas.</w:t>
      </w:r>
    </w:p>
    <w:p w:rsidR="005B1F96" w:rsidRPr="005B1F96" w:rsidRDefault="005B1F96" w:rsidP="005B1F9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5B1F96">
        <w:rPr>
          <w:rFonts w:ascii="Arial" w:hAnsi="Arial" w:cs="Arial"/>
          <w:sz w:val="20"/>
          <w:szCs w:val="20"/>
        </w:rPr>
        <w:lastRenderedPageBreak/>
        <w:t>Dada la incertidumbre generada en relación al análisis de los resultados de este meta-análisis</w:t>
      </w:r>
      <w:bookmarkStart w:id="0" w:name="_GoBack"/>
      <w:bookmarkEnd w:id="0"/>
      <w:r w:rsidRPr="005B1F96">
        <w:rPr>
          <w:rFonts w:ascii="Arial" w:hAnsi="Arial" w:cs="Arial"/>
          <w:sz w:val="20"/>
          <w:szCs w:val="20"/>
        </w:rPr>
        <w:t>, trae como resultado que a la hora de extraer información en aras de la aplicabilidad clínica diaria de nuestra población hipertensa, hace que en el  escenario clínico surja un abanico de confusiones que no permiten tomar</w:t>
      </w:r>
      <w:r>
        <w:rPr>
          <w:rFonts w:ascii="Arial" w:hAnsi="Arial" w:cs="Arial"/>
          <w:sz w:val="20"/>
          <w:szCs w:val="20"/>
        </w:rPr>
        <w:t xml:space="preserve"> decisiones bien fundamentadas.</w:t>
      </w:r>
      <w:r w:rsidRPr="005B1F96">
        <w:rPr>
          <w:rFonts w:ascii="Arial" w:hAnsi="Arial" w:cs="Arial"/>
          <w:sz w:val="20"/>
          <w:szCs w:val="20"/>
        </w:rPr>
        <w:t xml:space="preserve">    </w:t>
      </w:r>
    </w:p>
    <w:p w:rsidR="005B1F96" w:rsidRPr="00252542" w:rsidRDefault="005B1F96" w:rsidP="005B1F9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252542" w:rsidRPr="00861837" w:rsidRDefault="00252542" w:rsidP="0025254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A5D3E" w:rsidRPr="00861837" w:rsidRDefault="00861837" w:rsidP="006A5D3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RELATORÍA: Dr. Irvin Terán</w:t>
      </w:r>
    </w:p>
    <w:p w:rsidR="00A66B37" w:rsidRPr="00A66B37" w:rsidRDefault="00A66B37">
      <w:pPr>
        <w:rPr>
          <w:rFonts w:ascii="Maiandra GD" w:hAnsi="Maiandra GD"/>
        </w:rPr>
      </w:pPr>
    </w:p>
    <w:sectPr w:rsidR="00A66B37" w:rsidRPr="00A66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5FA"/>
    <w:multiLevelType w:val="hybridMultilevel"/>
    <w:tmpl w:val="962231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759"/>
    <w:multiLevelType w:val="hybridMultilevel"/>
    <w:tmpl w:val="E2EC3984"/>
    <w:lvl w:ilvl="0" w:tplc="EE38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27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2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8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8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4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2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1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37547B"/>
    <w:multiLevelType w:val="hybridMultilevel"/>
    <w:tmpl w:val="5D20F0F8"/>
    <w:lvl w:ilvl="0" w:tplc="EF28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0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8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FA1B90"/>
    <w:multiLevelType w:val="hybridMultilevel"/>
    <w:tmpl w:val="2BBC41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6D26"/>
    <w:multiLevelType w:val="hybridMultilevel"/>
    <w:tmpl w:val="2BB654A0"/>
    <w:lvl w:ilvl="0" w:tplc="FA88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CB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4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4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CA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6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2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8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CF0A1A"/>
    <w:multiLevelType w:val="hybridMultilevel"/>
    <w:tmpl w:val="6B80A16E"/>
    <w:lvl w:ilvl="0" w:tplc="8AD4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C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0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6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6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6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576BE0"/>
    <w:multiLevelType w:val="hybridMultilevel"/>
    <w:tmpl w:val="66265062"/>
    <w:lvl w:ilvl="0" w:tplc="2D58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45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6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A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E3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C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0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2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E"/>
    <w:rsid w:val="00042BFF"/>
    <w:rsid w:val="000D61E0"/>
    <w:rsid w:val="000E3C9B"/>
    <w:rsid w:val="0014670E"/>
    <w:rsid w:val="001E693C"/>
    <w:rsid w:val="00252542"/>
    <w:rsid w:val="0038708A"/>
    <w:rsid w:val="00521201"/>
    <w:rsid w:val="00553B0F"/>
    <w:rsid w:val="00577A71"/>
    <w:rsid w:val="005B1F96"/>
    <w:rsid w:val="00660691"/>
    <w:rsid w:val="006A5D3E"/>
    <w:rsid w:val="00707F7F"/>
    <w:rsid w:val="00734EDB"/>
    <w:rsid w:val="00861837"/>
    <w:rsid w:val="00926DC1"/>
    <w:rsid w:val="009C1B44"/>
    <w:rsid w:val="00A66B37"/>
    <w:rsid w:val="00AB081E"/>
    <w:rsid w:val="00AC585E"/>
    <w:rsid w:val="00B340B0"/>
    <w:rsid w:val="00B37951"/>
    <w:rsid w:val="00BE4AB0"/>
    <w:rsid w:val="00E43A94"/>
    <w:rsid w:val="00E869D0"/>
    <w:rsid w:val="00EE3F6C"/>
    <w:rsid w:val="00F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670E"/>
  </w:style>
  <w:style w:type="paragraph" w:styleId="NormalWeb">
    <w:name w:val="Normal (Web)"/>
    <w:basedOn w:val="Normal"/>
    <w:uiPriority w:val="99"/>
    <w:semiHidden/>
    <w:unhideWhenUsed/>
    <w:rsid w:val="001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14670E"/>
    <w:rPr>
      <w:b/>
      <w:bCs/>
    </w:rPr>
  </w:style>
  <w:style w:type="paragraph" w:styleId="Prrafodelista">
    <w:name w:val="List Paragraph"/>
    <w:basedOn w:val="Normal"/>
    <w:uiPriority w:val="34"/>
    <w:qFormat/>
    <w:rsid w:val="0014670E"/>
    <w:pPr>
      <w:ind w:left="720"/>
      <w:contextualSpacing/>
    </w:pPr>
  </w:style>
  <w:style w:type="table" w:customStyle="1" w:styleId="GridTable4Accent5">
    <w:name w:val="Grid Table 4 Accent 5"/>
    <w:basedOn w:val="Tablanormal"/>
    <w:uiPriority w:val="49"/>
    <w:rsid w:val="00B37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B37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670E"/>
  </w:style>
  <w:style w:type="paragraph" w:styleId="NormalWeb">
    <w:name w:val="Normal (Web)"/>
    <w:basedOn w:val="Normal"/>
    <w:uiPriority w:val="99"/>
    <w:semiHidden/>
    <w:unhideWhenUsed/>
    <w:rsid w:val="001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14670E"/>
    <w:rPr>
      <w:b/>
      <w:bCs/>
    </w:rPr>
  </w:style>
  <w:style w:type="paragraph" w:styleId="Prrafodelista">
    <w:name w:val="List Paragraph"/>
    <w:basedOn w:val="Normal"/>
    <w:uiPriority w:val="34"/>
    <w:qFormat/>
    <w:rsid w:val="0014670E"/>
    <w:pPr>
      <w:ind w:left="720"/>
      <w:contextualSpacing/>
    </w:pPr>
  </w:style>
  <w:style w:type="table" w:customStyle="1" w:styleId="GridTable4Accent5">
    <w:name w:val="Grid Table 4 Accent 5"/>
    <w:basedOn w:val="Tablanormal"/>
    <w:uiPriority w:val="49"/>
    <w:rsid w:val="00B37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B37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Rebeca</cp:lastModifiedBy>
  <cp:revision>17</cp:revision>
  <dcterms:created xsi:type="dcterms:W3CDTF">2017-06-21T12:07:00Z</dcterms:created>
  <dcterms:modified xsi:type="dcterms:W3CDTF">2018-03-14T14:41:00Z</dcterms:modified>
</cp:coreProperties>
</file>