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C4" w:rsidRPr="00E1616B" w:rsidRDefault="00785E74">
      <w:pPr>
        <w:spacing w:after="159" w:line="259" w:lineRule="auto"/>
        <w:ind w:right="66"/>
        <w:jc w:val="center"/>
        <w:rPr>
          <w:rFonts w:ascii="Cambria" w:hAnsi="Cambria"/>
        </w:rPr>
      </w:pPr>
      <w:r w:rsidRPr="00E1616B">
        <w:rPr>
          <w:rFonts w:ascii="Cambria" w:hAnsi="Cambria"/>
          <w:b/>
        </w:rPr>
        <w:t xml:space="preserve">EVIDENCIA CIENTÍFICA  </w:t>
      </w:r>
    </w:p>
    <w:p w:rsidR="003838C4" w:rsidRPr="00E1616B" w:rsidRDefault="00EC7FFD">
      <w:pPr>
        <w:spacing w:after="159" w:line="259" w:lineRule="auto"/>
        <w:ind w:right="63"/>
        <w:jc w:val="center"/>
        <w:rPr>
          <w:rFonts w:ascii="Cambria" w:hAnsi="Cambria"/>
        </w:rPr>
      </w:pPr>
      <w:r w:rsidRPr="00E1616B">
        <w:rPr>
          <w:rFonts w:ascii="Cambria" w:hAnsi="Cambria"/>
          <w:b/>
        </w:rPr>
        <w:t>ARTÍCULO 3 - CICLO 1</w:t>
      </w:r>
      <w:r w:rsidR="00D41E6B" w:rsidRPr="00E1616B">
        <w:rPr>
          <w:rFonts w:ascii="Cambria" w:hAnsi="Cambria"/>
          <w:b/>
        </w:rPr>
        <w:t>.</w:t>
      </w:r>
      <w:r w:rsidRPr="00E1616B">
        <w:rPr>
          <w:rFonts w:ascii="Cambria" w:hAnsi="Cambria"/>
          <w:b/>
        </w:rPr>
        <w:t xml:space="preserve"> 2023</w:t>
      </w:r>
      <w:r w:rsidR="00785E74" w:rsidRPr="00E1616B">
        <w:rPr>
          <w:rFonts w:ascii="Cambria" w:hAnsi="Cambria"/>
          <w:b/>
        </w:rPr>
        <w:t xml:space="preserve">. </w:t>
      </w:r>
    </w:p>
    <w:p w:rsidR="003838C4" w:rsidRPr="00E1616B" w:rsidRDefault="00785E74">
      <w:pPr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</w:rPr>
        <w:t>Fecha:</w:t>
      </w:r>
      <w:r w:rsidRPr="00E1616B">
        <w:rPr>
          <w:rFonts w:ascii="Cambria" w:hAnsi="Cambria"/>
        </w:rPr>
        <w:t xml:space="preserve"> </w:t>
      </w:r>
      <w:r w:rsidR="00EC7FFD" w:rsidRPr="00E1616B">
        <w:rPr>
          <w:rFonts w:ascii="Cambria" w:hAnsi="Cambria"/>
        </w:rPr>
        <w:t>lunes, 13 de febrero de 2023</w:t>
      </w:r>
      <w:r w:rsidRPr="00E1616B">
        <w:rPr>
          <w:rFonts w:ascii="Cambria" w:hAnsi="Cambria"/>
        </w:rPr>
        <w:t xml:space="preserve">. </w:t>
      </w:r>
      <w:r w:rsidRPr="00E1616B">
        <w:rPr>
          <w:rFonts w:ascii="Cambria" w:hAnsi="Cambria"/>
          <w:b/>
        </w:rPr>
        <w:t>Hora:</w:t>
      </w:r>
      <w:r w:rsidRPr="00E1616B">
        <w:rPr>
          <w:rFonts w:ascii="Cambria" w:hAnsi="Cambria"/>
        </w:rPr>
        <w:t xml:space="preserve"> 12:30 p.m. a 2:00 p.m. </w:t>
      </w:r>
      <w:r w:rsidRPr="00E1616B">
        <w:rPr>
          <w:rFonts w:ascii="Cambria" w:hAnsi="Cambria"/>
          <w:b/>
        </w:rPr>
        <w:t>Lugar:</w:t>
      </w:r>
      <w:r w:rsidRPr="00E1616B">
        <w:rPr>
          <w:rFonts w:ascii="Cambria" w:hAnsi="Cambria"/>
        </w:rPr>
        <w:t xml:space="preserve"> Auditorio de ASCARDIO.  </w:t>
      </w:r>
    </w:p>
    <w:p w:rsidR="003838C4" w:rsidRPr="00E1616B" w:rsidRDefault="00785E74">
      <w:pPr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</w:rPr>
        <w:t>Responsable:</w:t>
      </w:r>
      <w:r w:rsidRPr="00E1616B">
        <w:rPr>
          <w:rFonts w:ascii="Cambria" w:hAnsi="Cambria"/>
        </w:rPr>
        <w:t xml:space="preserve"> Grupo 2 del postgrado de Cardiología Clínica.  </w:t>
      </w:r>
    </w:p>
    <w:p w:rsidR="003838C4" w:rsidRPr="00E1616B" w:rsidRDefault="00785E74">
      <w:pPr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</w:rPr>
        <w:t>Ponente:</w:t>
      </w:r>
      <w:r w:rsidRPr="00E1616B">
        <w:rPr>
          <w:rFonts w:ascii="Cambria" w:hAnsi="Cambria"/>
        </w:rPr>
        <w:t xml:space="preserve"> Dra. Helen Ávila (Residente de </w:t>
      </w:r>
      <w:r w:rsidR="00EC7FFD" w:rsidRPr="00E1616B">
        <w:rPr>
          <w:rFonts w:ascii="Cambria" w:hAnsi="Cambria"/>
        </w:rPr>
        <w:t>tercer</w:t>
      </w:r>
      <w:r w:rsidRPr="00E1616B">
        <w:rPr>
          <w:rFonts w:ascii="Cambria" w:hAnsi="Cambria"/>
        </w:rPr>
        <w:t xml:space="preserve"> año).  </w:t>
      </w:r>
    </w:p>
    <w:p w:rsidR="003838C4" w:rsidRPr="00E1616B" w:rsidRDefault="00785E74">
      <w:pPr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</w:rPr>
        <w:t>Relator:</w:t>
      </w:r>
      <w:r w:rsidRPr="00E1616B">
        <w:rPr>
          <w:rFonts w:ascii="Cambria" w:hAnsi="Cambria"/>
        </w:rPr>
        <w:t xml:space="preserve"> Dra. </w:t>
      </w:r>
      <w:r w:rsidR="00EC7FFD" w:rsidRPr="00E1616B">
        <w:rPr>
          <w:rFonts w:ascii="Cambria" w:hAnsi="Cambria"/>
        </w:rPr>
        <w:t>Miryand Rojas</w:t>
      </w:r>
      <w:r w:rsidRPr="00E1616B">
        <w:rPr>
          <w:rFonts w:ascii="Cambria" w:hAnsi="Cambria"/>
        </w:rPr>
        <w:t xml:space="preserve"> (Residente de </w:t>
      </w:r>
      <w:r w:rsidR="00EC7FFD" w:rsidRPr="00E1616B">
        <w:rPr>
          <w:rFonts w:ascii="Cambria" w:hAnsi="Cambria"/>
        </w:rPr>
        <w:t>segundo</w:t>
      </w:r>
      <w:r w:rsidRPr="00E1616B">
        <w:rPr>
          <w:rFonts w:ascii="Cambria" w:hAnsi="Cambria"/>
        </w:rPr>
        <w:t xml:space="preserve"> año). </w:t>
      </w:r>
    </w:p>
    <w:p w:rsidR="003838C4" w:rsidRPr="00E1616B" w:rsidRDefault="00785E74">
      <w:pPr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</w:rPr>
        <w:t>Integrantes del Grupo 2:</w:t>
      </w:r>
      <w:r w:rsidRPr="00E1616B">
        <w:rPr>
          <w:rFonts w:ascii="Cambria" w:hAnsi="Cambria"/>
        </w:rPr>
        <w:t xml:space="preserve"> Dr. Francisco Barreto (Residente de </w:t>
      </w:r>
      <w:r w:rsidR="00EC7FFD" w:rsidRPr="00E1616B">
        <w:rPr>
          <w:rFonts w:ascii="Cambria" w:hAnsi="Cambria"/>
        </w:rPr>
        <w:t>segundo</w:t>
      </w:r>
      <w:r w:rsidRPr="00E1616B">
        <w:rPr>
          <w:rFonts w:ascii="Cambria" w:hAnsi="Cambria"/>
        </w:rPr>
        <w:t xml:space="preserve"> año), Dra. </w:t>
      </w:r>
      <w:proofErr w:type="spellStart"/>
      <w:r w:rsidR="00EC7FFD" w:rsidRPr="00E1616B">
        <w:rPr>
          <w:rFonts w:ascii="Cambria" w:hAnsi="Cambria"/>
        </w:rPr>
        <w:t>Zulifrancis</w:t>
      </w:r>
      <w:proofErr w:type="spellEnd"/>
      <w:r w:rsidR="00EC7FFD" w:rsidRPr="00E1616B">
        <w:rPr>
          <w:rFonts w:ascii="Cambria" w:hAnsi="Cambria"/>
        </w:rPr>
        <w:t xml:space="preserve"> </w:t>
      </w:r>
      <w:proofErr w:type="spellStart"/>
      <w:r w:rsidR="00EC7FFD" w:rsidRPr="00E1616B">
        <w:rPr>
          <w:rFonts w:ascii="Cambria" w:hAnsi="Cambria"/>
        </w:rPr>
        <w:t>Schepis</w:t>
      </w:r>
      <w:proofErr w:type="spellEnd"/>
      <w:r w:rsidRPr="00E1616B">
        <w:rPr>
          <w:rFonts w:ascii="Cambria" w:hAnsi="Cambria"/>
        </w:rPr>
        <w:t xml:space="preserve"> (Residente de primer año).  </w:t>
      </w:r>
    </w:p>
    <w:p w:rsidR="003838C4" w:rsidRPr="00E1616B" w:rsidRDefault="00785E74">
      <w:pPr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</w:rPr>
        <w:t>Asistentes:</w:t>
      </w:r>
      <w:r w:rsidRPr="00E1616B">
        <w:rPr>
          <w:rFonts w:ascii="Cambria" w:hAnsi="Cambria"/>
        </w:rPr>
        <w:t xml:space="preserve"> Dra. Raquel González, Dr. Reinaldo Ortiz, Dra. </w:t>
      </w:r>
      <w:r w:rsidR="00EC7FFD" w:rsidRPr="00E1616B">
        <w:rPr>
          <w:rFonts w:ascii="Cambria" w:hAnsi="Cambria"/>
        </w:rPr>
        <w:t>Aiza Gauna</w:t>
      </w:r>
      <w:r w:rsidRPr="00E1616B">
        <w:rPr>
          <w:rFonts w:ascii="Cambria" w:hAnsi="Cambria"/>
        </w:rPr>
        <w:t xml:space="preserve">, Dra. Elizabeth Infante, residentes de postgrado de cardiología clínica, cardiología infantil y residentes asistenciales.  </w:t>
      </w:r>
    </w:p>
    <w:p w:rsidR="003838C4" w:rsidRPr="00E1616B" w:rsidRDefault="00785E74" w:rsidP="00EC7FFD">
      <w:pPr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</w:rPr>
        <w:t>Interrogante del ciclo:</w:t>
      </w:r>
      <w:r w:rsidRPr="00E1616B">
        <w:rPr>
          <w:rFonts w:ascii="Cambria" w:hAnsi="Cambria"/>
        </w:rPr>
        <w:t xml:space="preserve"> </w:t>
      </w:r>
      <w:r w:rsidR="00EC7FFD" w:rsidRPr="00E1616B">
        <w:rPr>
          <w:rFonts w:ascii="Cambria" w:hAnsi="Cambria"/>
          <w:bCs/>
        </w:rPr>
        <w:t>“En pacientes obesos (IMC mayor 30 kg/m</w:t>
      </w:r>
      <w:r w:rsidR="00EC7FFD" w:rsidRPr="00E1616B">
        <w:rPr>
          <w:rFonts w:ascii="Cambria" w:hAnsi="Cambria"/>
          <w:bCs/>
          <w:vertAlign w:val="superscript"/>
        </w:rPr>
        <w:t>2</w:t>
      </w:r>
      <w:r w:rsidR="00EC7FFD" w:rsidRPr="00E1616B">
        <w:rPr>
          <w:rFonts w:ascii="Cambria" w:hAnsi="Cambria"/>
          <w:bCs/>
        </w:rPr>
        <w:t>) con enfermedad cardiovascular, el uso de heparina de bajo molecular (Enoxaparina Sódica) a dosis anticoagulante estándar vs dosis reducida, ¿incrementa el riesgo de eventos cardiovasculares?”</w:t>
      </w:r>
      <w:r w:rsidR="00D41E6B" w:rsidRPr="00E1616B">
        <w:rPr>
          <w:rFonts w:ascii="Cambria" w:hAnsi="Cambria"/>
          <w:bCs/>
        </w:rPr>
        <w:t>.</w:t>
      </w:r>
    </w:p>
    <w:p w:rsidR="003838C4" w:rsidRPr="00E1616B" w:rsidRDefault="00785E74">
      <w:pPr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</w:rPr>
        <w:t>Área de revisión:</w:t>
      </w:r>
      <w:r w:rsidRPr="00E1616B">
        <w:rPr>
          <w:rFonts w:ascii="Cambria" w:hAnsi="Cambria"/>
        </w:rPr>
        <w:t xml:space="preserve"> Cardiología </w:t>
      </w:r>
      <w:r w:rsidR="00EC7FFD" w:rsidRPr="00E1616B">
        <w:rPr>
          <w:rFonts w:ascii="Cambria" w:hAnsi="Cambria"/>
        </w:rPr>
        <w:t>clínica</w:t>
      </w:r>
      <w:r w:rsidRPr="00E1616B">
        <w:rPr>
          <w:rFonts w:ascii="Cambria" w:hAnsi="Cambria"/>
        </w:rPr>
        <w:t xml:space="preserve">.  </w:t>
      </w:r>
    </w:p>
    <w:p w:rsidR="003838C4" w:rsidRPr="00E1616B" w:rsidRDefault="00785E74">
      <w:pPr>
        <w:spacing w:after="117"/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</w:rPr>
        <w:t>Estudio de revisión:</w:t>
      </w:r>
      <w:r w:rsidR="00EC7FFD" w:rsidRPr="00E1616B">
        <w:rPr>
          <w:rFonts w:ascii="Cambria" w:hAnsi="Cambria"/>
        </w:rPr>
        <w:t xml:space="preserve"> </w:t>
      </w:r>
      <w:r w:rsidR="00EC7FFD" w:rsidRPr="00E1616B">
        <w:rPr>
          <w:rFonts w:ascii="Cambria" w:hAnsi="Cambria"/>
          <w:lang w:val="es-ES"/>
        </w:rPr>
        <w:t>Evaluación de la dosis de tratamiento de Enoxaparina en pacientes con enfermedad aguda y obesidad mórbida grado III en un centro médico académico: un ensayo clínico aleatorizado.</w:t>
      </w:r>
      <w:r w:rsidRPr="00E1616B">
        <w:rPr>
          <w:rFonts w:ascii="Cambria" w:hAnsi="Cambria"/>
        </w:rPr>
        <w:t xml:space="preserve"> </w:t>
      </w:r>
    </w:p>
    <w:p w:rsidR="003838C4" w:rsidRPr="00E1616B" w:rsidRDefault="00EC7FFD" w:rsidP="00EC7FFD">
      <w:pPr>
        <w:spacing w:after="98" w:line="259" w:lineRule="auto"/>
        <w:ind w:left="-1" w:firstLine="0"/>
        <w:jc w:val="right"/>
        <w:rPr>
          <w:rFonts w:ascii="Cambria" w:hAnsi="Cambria"/>
        </w:rPr>
      </w:pPr>
      <w:r w:rsidRPr="00E1616B">
        <w:rPr>
          <w:rFonts w:ascii="Cambria" w:hAnsi="Cambria"/>
          <w:noProof/>
        </w:rPr>
        <w:drawing>
          <wp:inline distT="0" distB="0" distL="0" distR="0" wp14:anchorId="5B1E740C" wp14:editId="01C0953C">
            <wp:extent cx="6168423" cy="2712720"/>
            <wp:effectExtent l="0" t="0" r="381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F2EAF8E3-EEE2-FBC6-F3D5-3908523795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F2EAF8E3-EEE2-FBC6-F3D5-3908523795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3496" t="14309" r="27886" b="47679"/>
                    <a:stretch/>
                  </pic:blipFill>
                  <pic:spPr>
                    <a:xfrm>
                      <a:off x="0" y="0"/>
                      <a:ext cx="6174444" cy="271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E74" w:rsidRPr="00E1616B">
        <w:rPr>
          <w:rFonts w:ascii="Cambria" w:hAnsi="Cambria"/>
        </w:rPr>
        <w:t xml:space="preserve"> </w:t>
      </w:r>
    </w:p>
    <w:p w:rsidR="00785E74" w:rsidRPr="00E1616B" w:rsidRDefault="00785E74" w:rsidP="00785E74">
      <w:pPr>
        <w:spacing w:after="159" w:line="259" w:lineRule="auto"/>
        <w:ind w:left="-5"/>
        <w:jc w:val="center"/>
        <w:rPr>
          <w:rFonts w:ascii="Cambria" w:hAnsi="Cambria"/>
        </w:rPr>
      </w:pPr>
      <w:r w:rsidRPr="00E1616B">
        <w:rPr>
          <w:rFonts w:ascii="Cambria" w:hAnsi="Cambria"/>
          <w:b/>
        </w:rPr>
        <w:t>Aportes del grupo:</w:t>
      </w:r>
    </w:p>
    <w:p w:rsidR="003838C4" w:rsidRPr="00E1616B" w:rsidRDefault="00D41E6B" w:rsidP="00785E74">
      <w:pPr>
        <w:spacing w:after="159" w:line="259" w:lineRule="auto"/>
        <w:ind w:left="-5"/>
        <w:rPr>
          <w:rFonts w:ascii="Cambria" w:hAnsi="Cambria"/>
        </w:rPr>
      </w:pPr>
      <w:r w:rsidRPr="00E1616B">
        <w:rPr>
          <w:rFonts w:ascii="Cambria" w:hAnsi="Cambria"/>
        </w:rPr>
        <w:t xml:space="preserve">     </w:t>
      </w:r>
      <w:r w:rsidR="00785E74" w:rsidRPr="00E1616B">
        <w:rPr>
          <w:rFonts w:ascii="Cambria" w:hAnsi="Cambria"/>
        </w:rPr>
        <w:t xml:space="preserve">El artículo no responde la interrogante, porque </w:t>
      </w:r>
      <w:r w:rsidR="00EC7FFD" w:rsidRPr="00E1616B">
        <w:rPr>
          <w:rFonts w:ascii="Cambria" w:hAnsi="Cambria"/>
        </w:rPr>
        <w:t>pese a que fueron pacientes con IMC ma</w:t>
      </w:r>
      <w:r w:rsidR="00163C92" w:rsidRPr="00E1616B">
        <w:rPr>
          <w:rFonts w:ascii="Cambria" w:hAnsi="Cambria"/>
        </w:rPr>
        <w:t>yor de 3</w:t>
      </w:r>
      <w:r w:rsidR="00EC7FFD" w:rsidRPr="00E1616B">
        <w:rPr>
          <w:rFonts w:ascii="Cambria" w:hAnsi="Cambria"/>
        </w:rPr>
        <w:t>0 kg/m</w:t>
      </w:r>
      <w:r w:rsidR="00EC7FFD" w:rsidRPr="00E1616B">
        <w:rPr>
          <w:rFonts w:ascii="Cambria" w:hAnsi="Cambria"/>
          <w:vertAlign w:val="superscript"/>
        </w:rPr>
        <w:t>2</w:t>
      </w:r>
      <w:r w:rsidR="00163C92" w:rsidRPr="00E1616B">
        <w:rPr>
          <w:rFonts w:ascii="Cambria" w:hAnsi="Cambria"/>
          <w:vertAlign w:val="superscript"/>
        </w:rPr>
        <w:t xml:space="preserve"> </w:t>
      </w:r>
      <w:r w:rsidR="00163C92" w:rsidRPr="00E1616B">
        <w:rPr>
          <w:rFonts w:ascii="Cambria" w:hAnsi="Cambria"/>
        </w:rPr>
        <w:t xml:space="preserve">y se comparó dosis terapéutica estándar versus reducida, no se </w:t>
      </w:r>
      <w:r w:rsidR="00D84FDA" w:rsidRPr="00E1616B">
        <w:rPr>
          <w:rFonts w:ascii="Cambria" w:hAnsi="Cambria"/>
        </w:rPr>
        <w:t>objetivaron</w:t>
      </w:r>
      <w:r w:rsidR="00163C92" w:rsidRPr="00E1616B">
        <w:rPr>
          <w:rFonts w:ascii="Cambria" w:hAnsi="Cambria"/>
        </w:rPr>
        <w:t xml:space="preserve"> estadísticos para reducción de riesgo cardiovasculares</w:t>
      </w:r>
      <w:r w:rsidRPr="00E1616B">
        <w:rPr>
          <w:rFonts w:ascii="Cambria" w:hAnsi="Cambria"/>
        </w:rPr>
        <w:t>,</w:t>
      </w:r>
      <w:r w:rsidR="00163C92" w:rsidRPr="00E1616B">
        <w:rPr>
          <w:rFonts w:ascii="Cambria" w:hAnsi="Cambria"/>
        </w:rPr>
        <w:t xml:space="preserve"> sino más bien</w:t>
      </w:r>
      <w:r w:rsidRPr="00E1616B">
        <w:rPr>
          <w:rFonts w:ascii="Cambria" w:hAnsi="Cambria"/>
        </w:rPr>
        <w:t>,</w:t>
      </w:r>
      <w:r w:rsidR="00163C92" w:rsidRPr="00E1616B">
        <w:rPr>
          <w:rFonts w:ascii="Cambria" w:hAnsi="Cambria"/>
        </w:rPr>
        <w:t xml:space="preserve"> lo utilizaron como </w:t>
      </w:r>
      <w:r w:rsidR="00163C92" w:rsidRPr="00E1616B">
        <w:rPr>
          <w:rFonts w:ascii="Cambria" w:hAnsi="Cambria"/>
        </w:rPr>
        <w:lastRenderedPageBreak/>
        <w:t>prevalencia, además el artículo no alcanzó el poder estadístico</w:t>
      </w:r>
      <w:r w:rsidRPr="00E1616B">
        <w:rPr>
          <w:rFonts w:ascii="Cambria" w:hAnsi="Cambria"/>
        </w:rPr>
        <w:t>, lo que lo hace poco sustentable</w:t>
      </w:r>
      <w:r w:rsidR="00785E74" w:rsidRPr="00E1616B">
        <w:rPr>
          <w:rFonts w:ascii="Cambria" w:hAnsi="Cambria"/>
        </w:rPr>
        <w:t>. S</w:t>
      </w:r>
      <w:r w:rsidR="00C71C3C" w:rsidRPr="00E1616B">
        <w:rPr>
          <w:rFonts w:ascii="Cambria" w:hAnsi="Cambria"/>
        </w:rPr>
        <w:t xml:space="preserve">in embargo, aporta información clínica </w:t>
      </w:r>
      <w:r w:rsidR="00785E74" w:rsidRPr="00E1616B">
        <w:rPr>
          <w:rFonts w:ascii="Cambria" w:hAnsi="Cambria"/>
        </w:rPr>
        <w:t xml:space="preserve">importante: </w:t>
      </w:r>
    </w:p>
    <w:p w:rsidR="00163C92" w:rsidRPr="00E1616B" w:rsidRDefault="00163C92" w:rsidP="00163C92">
      <w:pPr>
        <w:spacing w:after="196"/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  <w:bCs/>
        </w:rPr>
        <w:t xml:space="preserve">Aportes estadísticos: </w:t>
      </w:r>
    </w:p>
    <w:p w:rsidR="00163C92" w:rsidRPr="00E1616B" w:rsidRDefault="00163C92" w:rsidP="00163C92">
      <w:pPr>
        <w:pStyle w:val="Prrafodelista"/>
        <w:numPr>
          <w:ilvl w:val="0"/>
          <w:numId w:val="2"/>
        </w:numPr>
        <w:spacing w:after="196"/>
        <w:ind w:right="48"/>
        <w:rPr>
          <w:rFonts w:ascii="Cambria" w:hAnsi="Cambria"/>
        </w:rPr>
      </w:pPr>
      <w:r w:rsidRPr="00E1616B">
        <w:rPr>
          <w:rFonts w:ascii="Cambria" w:hAnsi="Cambria"/>
        </w:rPr>
        <w:t>El estudio no alcanzó el poder estadístico de 80 %, lo que hace inconsistentes los datos reportados. Dado el bajo número de pacientes de este estudio.</w:t>
      </w:r>
    </w:p>
    <w:p w:rsidR="00163C92" w:rsidRPr="00E1616B" w:rsidRDefault="00163C92" w:rsidP="00163C92">
      <w:pPr>
        <w:pStyle w:val="Prrafodelista"/>
        <w:numPr>
          <w:ilvl w:val="0"/>
          <w:numId w:val="2"/>
        </w:numPr>
        <w:spacing w:after="196"/>
        <w:ind w:right="48"/>
        <w:rPr>
          <w:rFonts w:ascii="Cambria" w:hAnsi="Cambria"/>
        </w:rPr>
      </w:pPr>
      <w:r w:rsidRPr="00E1616B">
        <w:rPr>
          <w:rFonts w:ascii="Cambria" w:hAnsi="Cambria"/>
        </w:rPr>
        <w:t>Al tener pobre potencia estadística</w:t>
      </w:r>
      <w:r w:rsidR="00D41E6B" w:rsidRPr="00E1616B">
        <w:rPr>
          <w:rFonts w:ascii="Cambria" w:hAnsi="Cambria"/>
        </w:rPr>
        <w:t>,</w:t>
      </w:r>
      <w:r w:rsidRPr="00E1616B">
        <w:rPr>
          <w:rFonts w:ascii="Cambria" w:hAnsi="Cambria"/>
        </w:rPr>
        <w:t xml:space="preserve"> la generalización de los resultados del estudio es limitada debido a la posibilidad de error tipo II (es decir acepta la hipótesis nula siendo esta falsa en la población. Falsos negativos)</w:t>
      </w:r>
      <w:r w:rsidR="00D41E6B" w:rsidRPr="00E1616B">
        <w:rPr>
          <w:rFonts w:ascii="Cambria" w:hAnsi="Cambria"/>
        </w:rPr>
        <w:t>.</w:t>
      </w:r>
    </w:p>
    <w:p w:rsidR="00D84FDA" w:rsidRPr="00E1616B" w:rsidRDefault="00163C92" w:rsidP="00D84FDA">
      <w:pPr>
        <w:pStyle w:val="Prrafodelista"/>
        <w:numPr>
          <w:ilvl w:val="0"/>
          <w:numId w:val="2"/>
        </w:numPr>
        <w:spacing w:after="196"/>
        <w:ind w:right="48"/>
        <w:rPr>
          <w:rFonts w:ascii="Cambria" w:hAnsi="Cambria"/>
        </w:rPr>
      </w:pPr>
      <w:r w:rsidRPr="00E1616B">
        <w:rPr>
          <w:rFonts w:ascii="Cambria" w:hAnsi="Cambria"/>
        </w:rPr>
        <w:t xml:space="preserve">No </w:t>
      </w:r>
      <w:r w:rsidR="00D84FDA" w:rsidRPr="00E1616B">
        <w:rPr>
          <w:rFonts w:ascii="Cambria" w:hAnsi="Cambria"/>
        </w:rPr>
        <w:t>utilizaron un estadístico de riesgo sino diferencias entre grupos</w:t>
      </w:r>
      <w:r w:rsidR="00D41E6B" w:rsidRPr="00E1616B">
        <w:rPr>
          <w:rFonts w:ascii="Cambria" w:hAnsi="Cambria"/>
        </w:rPr>
        <w:t xml:space="preserve"> con valor de p por protocolo que la hace aún más susceptible a error de tipo II ya que disminuye aún más la muestra</w:t>
      </w:r>
      <w:r w:rsidR="00D84FDA" w:rsidRPr="00E1616B">
        <w:rPr>
          <w:rFonts w:ascii="Cambria" w:hAnsi="Cambria"/>
        </w:rPr>
        <w:t>.</w:t>
      </w:r>
    </w:p>
    <w:p w:rsidR="00163C92" w:rsidRPr="00E1616B" w:rsidRDefault="00C71C3C" w:rsidP="00163C92">
      <w:pPr>
        <w:spacing w:after="196"/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  <w:bCs/>
        </w:rPr>
        <w:t>Aportes metodológicos</w:t>
      </w:r>
      <w:r w:rsidR="00163C92" w:rsidRPr="00E1616B">
        <w:rPr>
          <w:rFonts w:ascii="Cambria" w:hAnsi="Cambria"/>
          <w:b/>
          <w:bCs/>
        </w:rPr>
        <w:t>:</w:t>
      </w:r>
    </w:p>
    <w:p w:rsidR="00163C92" w:rsidRPr="00E1616B" w:rsidRDefault="00D84FDA" w:rsidP="00163C92">
      <w:pPr>
        <w:pStyle w:val="Prrafodelista"/>
        <w:numPr>
          <w:ilvl w:val="0"/>
          <w:numId w:val="3"/>
        </w:numPr>
        <w:spacing w:after="196"/>
        <w:ind w:right="48"/>
        <w:rPr>
          <w:rFonts w:ascii="Cambria" w:hAnsi="Cambria"/>
        </w:rPr>
      </w:pPr>
      <w:r w:rsidRPr="00E1616B">
        <w:rPr>
          <w:rFonts w:ascii="Cambria" w:hAnsi="Cambria"/>
        </w:rPr>
        <w:t>La</w:t>
      </w:r>
      <w:r w:rsidR="00163C92" w:rsidRPr="00E1616B">
        <w:rPr>
          <w:rFonts w:ascii="Cambria" w:hAnsi="Cambria"/>
        </w:rPr>
        <w:t xml:space="preserve"> observación de estos pacientes </w:t>
      </w:r>
      <w:r w:rsidRPr="00E1616B">
        <w:rPr>
          <w:rFonts w:ascii="Cambria" w:hAnsi="Cambria"/>
        </w:rPr>
        <w:t xml:space="preserve">fue </w:t>
      </w:r>
      <w:r w:rsidR="00163C92" w:rsidRPr="00E1616B">
        <w:rPr>
          <w:rFonts w:ascii="Cambria" w:hAnsi="Cambria"/>
        </w:rPr>
        <w:t>de</w:t>
      </w:r>
      <w:r w:rsidRPr="00E1616B">
        <w:rPr>
          <w:rFonts w:ascii="Cambria" w:hAnsi="Cambria"/>
        </w:rPr>
        <w:t xml:space="preserve"> aproximadamente</w:t>
      </w:r>
      <w:r w:rsidR="00163C92" w:rsidRPr="00E1616B">
        <w:rPr>
          <w:rFonts w:ascii="Cambria" w:hAnsi="Cambria"/>
        </w:rPr>
        <w:t xml:space="preserve"> 36 horas</w:t>
      </w:r>
      <w:r w:rsidR="00D41E6B" w:rsidRPr="00E1616B">
        <w:rPr>
          <w:rFonts w:ascii="Cambria" w:hAnsi="Cambria"/>
        </w:rPr>
        <w:t>,</w:t>
      </w:r>
      <w:r w:rsidR="00163C92" w:rsidRPr="00E1616B">
        <w:rPr>
          <w:rFonts w:ascii="Cambria" w:hAnsi="Cambria"/>
        </w:rPr>
        <w:t xml:space="preserve"> puesto que su objetivo primario fue tiempo en alcanzar niveles de factor </w:t>
      </w:r>
      <w:proofErr w:type="spellStart"/>
      <w:r w:rsidR="00163C92" w:rsidRPr="00E1616B">
        <w:rPr>
          <w:rFonts w:ascii="Cambria" w:hAnsi="Cambria"/>
        </w:rPr>
        <w:t>Xa</w:t>
      </w:r>
      <w:proofErr w:type="spellEnd"/>
      <w:r w:rsidR="00163C92" w:rsidRPr="00E1616B">
        <w:rPr>
          <w:rFonts w:ascii="Cambria" w:hAnsi="Cambria"/>
        </w:rPr>
        <w:t xml:space="preserve"> estables, y luego de ello, los pacientes se dejaban de seguir, haciendo </w:t>
      </w:r>
      <w:r w:rsidR="00D41E6B" w:rsidRPr="00E1616B">
        <w:rPr>
          <w:rFonts w:ascii="Cambria" w:hAnsi="Cambria"/>
        </w:rPr>
        <w:t>susceptible</w:t>
      </w:r>
      <w:r w:rsidR="00163C92" w:rsidRPr="00E1616B">
        <w:rPr>
          <w:rFonts w:ascii="Cambria" w:hAnsi="Cambria"/>
        </w:rPr>
        <w:t xml:space="preserve"> a que no se evidenciaran eventos cardiovasculares</w:t>
      </w:r>
      <w:r w:rsidRPr="00E1616B">
        <w:rPr>
          <w:rFonts w:ascii="Cambria" w:hAnsi="Cambria"/>
        </w:rPr>
        <w:t xml:space="preserve"> a largo plazo</w:t>
      </w:r>
      <w:r w:rsidR="00163C92" w:rsidRPr="00E1616B">
        <w:rPr>
          <w:rFonts w:ascii="Cambria" w:hAnsi="Cambria"/>
        </w:rPr>
        <w:t>.</w:t>
      </w:r>
    </w:p>
    <w:p w:rsidR="00163C92" w:rsidRPr="00E1616B" w:rsidRDefault="00163C92" w:rsidP="00163C92">
      <w:pPr>
        <w:spacing w:after="196"/>
        <w:ind w:left="-5" w:right="48"/>
        <w:rPr>
          <w:rFonts w:ascii="Cambria" w:hAnsi="Cambria"/>
        </w:rPr>
      </w:pPr>
      <w:r w:rsidRPr="00E1616B">
        <w:rPr>
          <w:rFonts w:ascii="Cambria" w:hAnsi="Cambria"/>
          <w:b/>
          <w:bCs/>
        </w:rPr>
        <w:t xml:space="preserve">Aportes clínicos: </w:t>
      </w:r>
    </w:p>
    <w:p w:rsidR="002F68C8" w:rsidRPr="00E1616B" w:rsidRDefault="00163C92" w:rsidP="002F68C8">
      <w:pPr>
        <w:pStyle w:val="Prrafodelista"/>
        <w:numPr>
          <w:ilvl w:val="0"/>
          <w:numId w:val="3"/>
        </w:numPr>
        <w:spacing w:after="196"/>
        <w:ind w:right="48"/>
        <w:rPr>
          <w:rFonts w:ascii="Cambria" w:hAnsi="Cambria"/>
        </w:rPr>
      </w:pPr>
      <w:r w:rsidRPr="00E1616B">
        <w:rPr>
          <w:rFonts w:ascii="Cambria" w:hAnsi="Cambria"/>
        </w:rPr>
        <w:t xml:space="preserve">No hubo </w:t>
      </w:r>
      <w:r w:rsidR="00853BA6" w:rsidRPr="00E1616B">
        <w:rPr>
          <w:rFonts w:ascii="Cambria" w:hAnsi="Cambria"/>
        </w:rPr>
        <w:t>una diferencia estadísticamente significativa</w:t>
      </w:r>
      <w:r w:rsidRPr="00E1616B">
        <w:rPr>
          <w:rFonts w:ascii="Cambria" w:hAnsi="Cambria"/>
        </w:rPr>
        <w:t xml:space="preserve"> entre ambos grupos,</w:t>
      </w:r>
      <w:r w:rsidR="002F68C8" w:rsidRPr="00E1616B">
        <w:rPr>
          <w:rFonts w:ascii="Cambria" w:hAnsi="Cambria"/>
        </w:rPr>
        <w:t xml:space="preserve"> </w:t>
      </w:r>
      <w:r w:rsidR="00D41E6B" w:rsidRPr="00E1616B">
        <w:rPr>
          <w:rFonts w:ascii="Cambria" w:hAnsi="Cambria"/>
        </w:rPr>
        <w:t xml:space="preserve">es decir tanto utilizar dosis estándar como dosis reducida, presentan un factor </w:t>
      </w:r>
      <w:proofErr w:type="spellStart"/>
      <w:r w:rsidR="00D41E6B" w:rsidRPr="00E1616B">
        <w:rPr>
          <w:rFonts w:ascii="Cambria" w:hAnsi="Cambria"/>
        </w:rPr>
        <w:t>Xa</w:t>
      </w:r>
      <w:proofErr w:type="spellEnd"/>
      <w:r w:rsidR="00D41E6B" w:rsidRPr="00E1616B">
        <w:rPr>
          <w:rFonts w:ascii="Cambria" w:hAnsi="Cambria"/>
        </w:rPr>
        <w:t xml:space="preserve"> en meta,</w:t>
      </w:r>
      <w:r w:rsidRPr="00E1616B">
        <w:rPr>
          <w:rFonts w:ascii="Cambria" w:hAnsi="Cambria"/>
        </w:rPr>
        <w:t xml:space="preserve"> sin embargo, se evidenció que en el grupo de pacientes con dosis reducida solo 3 pacientes ameritaron un ajuste de dosis, frente a los pacientes con dosis estándar de los cuales 6 ameritaron dicho ajuste</w:t>
      </w:r>
      <w:r w:rsidR="00D41E6B" w:rsidRPr="00E1616B">
        <w:rPr>
          <w:rFonts w:ascii="Cambria" w:hAnsi="Cambria"/>
        </w:rPr>
        <w:t xml:space="preserve"> por estar en rango supraterapéutico</w:t>
      </w:r>
      <w:r w:rsidRPr="00E1616B">
        <w:rPr>
          <w:rFonts w:ascii="Cambria" w:hAnsi="Cambria"/>
        </w:rPr>
        <w:t xml:space="preserve">.  </w:t>
      </w:r>
    </w:p>
    <w:p w:rsidR="00D41E6B" w:rsidRPr="00E1616B" w:rsidRDefault="00D41E6B" w:rsidP="002F68C8">
      <w:pPr>
        <w:pStyle w:val="Prrafodelista"/>
        <w:numPr>
          <w:ilvl w:val="0"/>
          <w:numId w:val="3"/>
        </w:numPr>
        <w:spacing w:after="196"/>
        <w:ind w:right="48"/>
        <w:rPr>
          <w:rFonts w:ascii="Cambria" w:hAnsi="Cambria"/>
        </w:rPr>
      </w:pPr>
      <w:r w:rsidRPr="00E1616B">
        <w:rPr>
          <w:rFonts w:ascii="Cambria" w:hAnsi="Cambria"/>
        </w:rPr>
        <w:t xml:space="preserve">No hubo diferencias significativas con ninguna de las dosis, y no </w:t>
      </w:r>
      <w:r w:rsidR="00163C92" w:rsidRPr="00E1616B">
        <w:rPr>
          <w:rFonts w:ascii="Cambria" w:hAnsi="Cambria"/>
        </w:rPr>
        <w:t>se evidenciaron efectos adversos ni hemorrágicos ni trombóticos</w:t>
      </w:r>
      <w:r w:rsidRPr="00E1616B">
        <w:rPr>
          <w:rFonts w:ascii="Cambria" w:hAnsi="Cambria"/>
        </w:rPr>
        <w:t>,</w:t>
      </w:r>
      <w:r w:rsidR="00163C92" w:rsidRPr="00E1616B">
        <w:rPr>
          <w:rFonts w:ascii="Cambria" w:hAnsi="Cambria"/>
        </w:rPr>
        <w:t xml:space="preserve"> </w:t>
      </w:r>
      <w:r w:rsidRPr="00E1616B">
        <w:rPr>
          <w:rFonts w:ascii="Cambria" w:hAnsi="Cambria"/>
        </w:rPr>
        <w:t xml:space="preserve">por lo tanto, pacientes mayores de 120 kg se podría utilizar dosis estándar, sin presentar riesgo de sangrado, </w:t>
      </w:r>
      <w:r w:rsidR="00163C92" w:rsidRPr="00E1616B">
        <w:rPr>
          <w:rFonts w:ascii="Cambria" w:hAnsi="Cambria"/>
        </w:rPr>
        <w:t xml:space="preserve">pero valdría la pena evaluar la aparición de eventos cardiovasculares </w:t>
      </w:r>
      <w:r w:rsidRPr="00E1616B">
        <w:rPr>
          <w:rFonts w:ascii="Cambria" w:hAnsi="Cambria"/>
        </w:rPr>
        <w:t>a largo plazo</w:t>
      </w:r>
      <w:r w:rsidR="00C71C3C" w:rsidRPr="00E1616B">
        <w:rPr>
          <w:rFonts w:ascii="Cambria" w:hAnsi="Cambria"/>
        </w:rPr>
        <w:t>, ya que este estudio fue a corto plazo</w:t>
      </w:r>
      <w:r w:rsidR="00163C92" w:rsidRPr="00E1616B">
        <w:rPr>
          <w:rFonts w:ascii="Cambria" w:hAnsi="Cambria"/>
        </w:rPr>
        <w:t xml:space="preserve">. </w:t>
      </w:r>
    </w:p>
    <w:p w:rsidR="00163C92" w:rsidRPr="00E1616B" w:rsidRDefault="00163C92" w:rsidP="002F68C8">
      <w:pPr>
        <w:pStyle w:val="Prrafodelista"/>
        <w:numPr>
          <w:ilvl w:val="0"/>
          <w:numId w:val="3"/>
        </w:numPr>
        <w:spacing w:after="196"/>
        <w:ind w:right="48"/>
        <w:rPr>
          <w:rFonts w:ascii="Cambria" w:hAnsi="Cambria"/>
        </w:rPr>
      </w:pPr>
      <w:r w:rsidRPr="00E1616B">
        <w:rPr>
          <w:rFonts w:ascii="Cambria" w:hAnsi="Cambria"/>
        </w:rPr>
        <w:t xml:space="preserve">Vale la pena hacer un estudio adicional para determinar el beneficio en pacientes críticamente enfermos en UCI </w:t>
      </w:r>
      <w:r w:rsidR="00C71C3C" w:rsidRPr="00E1616B">
        <w:rPr>
          <w:rFonts w:ascii="Cambria" w:hAnsi="Cambria"/>
        </w:rPr>
        <w:t xml:space="preserve">con obesidad </w:t>
      </w:r>
      <w:r w:rsidRPr="00E1616B">
        <w:rPr>
          <w:rFonts w:ascii="Cambria" w:hAnsi="Cambria"/>
        </w:rPr>
        <w:t>comparando ambas dosis</w:t>
      </w:r>
      <w:r w:rsidR="00D41E6B" w:rsidRPr="00E1616B">
        <w:rPr>
          <w:rFonts w:ascii="Cambria" w:hAnsi="Cambria"/>
        </w:rPr>
        <w:t>,</w:t>
      </w:r>
      <w:r w:rsidRPr="00E1616B">
        <w:rPr>
          <w:rFonts w:ascii="Cambria" w:hAnsi="Cambria"/>
        </w:rPr>
        <w:t xml:space="preserve"> puesto que en este estudio nos mencionó que la mayoría de estos pacientes utilizaban una dosis reducida y alcanzaron rangos terapéuticos con las primeras 3 dosis del tratamiento. </w:t>
      </w:r>
    </w:p>
    <w:p w:rsidR="003838C4" w:rsidRPr="00E1616B" w:rsidRDefault="00785E74">
      <w:pPr>
        <w:spacing w:after="159" w:line="259" w:lineRule="auto"/>
        <w:ind w:left="-5"/>
        <w:jc w:val="left"/>
        <w:rPr>
          <w:rFonts w:ascii="Cambria" w:hAnsi="Cambria"/>
        </w:rPr>
      </w:pPr>
      <w:r w:rsidRPr="00E1616B">
        <w:rPr>
          <w:rFonts w:ascii="Cambria" w:hAnsi="Cambria"/>
          <w:b/>
        </w:rPr>
        <w:t xml:space="preserve">Intervenciones de los asistentes y discusión final:  </w:t>
      </w:r>
    </w:p>
    <w:p w:rsidR="00F01368" w:rsidRPr="00E1616B" w:rsidRDefault="00F01368" w:rsidP="00F01368">
      <w:pPr>
        <w:ind w:left="-5" w:right="48" w:firstLine="5"/>
        <w:rPr>
          <w:rFonts w:ascii="Cambria" w:hAnsi="Cambria"/>
          <w:lang w:val="es-419"/>
        </w:rPr>
      </w:pPr>
      <w:r w:rsidRPr="00E1616B">
        <w:rPr>
          <w:rFonts w:ascii="Cambria" w:hAnsi="Cambria"/>
        </w:rPr>
        <w:t xml:space="preserve">     La Dra. </w:t>
      </w:r>
      <w:r w:rsidR="00DF612E" w:rsidRPr="00E1616B">
        <w:rPr>
          <w:rFonts w:ascii="Cambria" w:hAnsi="Cambria"/>
        </w:rPr>
        <w:t>Gonzalez</w:t>
      </w:r>
      <w:r w:rsidRPr="00E1616B">
        <w:rPr>
          <w:rFonts w:ascii="Cambria" w:hAnsi="Cambria"/>
        </w:rPr>
        <w:t xml:space="preserve"> reafirma que, en la tabla de las caracteristicas basales estaba compuesta por</w:t>
      </w:r>
      <w:r w:rsidRPr="00E1616B">
        <w:rPr>
          <w:rFonts w:ascii="Cambria" w:hAnsi="Cambria"/>
          <w:lang w:val="es-419"/>
        </w:rPr>
        <w:t xml:space="preserve"> grupos comparables, y a diferencia de estudios previos incluyeron pacientes obesos con IMC</w:t>
      </w:r>
      <w:r w:rsidRPr="00E1616B">
        <w:rPr>
          <w:rFonts w:ascii="Cambria" w:hAnsi="Cambria"/>
          <w:lang w:val="es-419"/>
        </w:rPr>
        <w:t xml:space="preserve"> </w:t>
      </w:r>
      <w:r w:rsidRPr="00E1616B">
        <w:rPr>
          <w:rFonts w:ascii="Cambria" w:hAnsi="Cambria"/>
          <w:lang w:val="es-419"/>
        </w:rPr>
        <w:t>&gt; 40</w:t>
      </w:r>
      <w:r w:rsidR="00DF612E" w:rsidRPr="00E1616B">
        <w:rPr>
          <w:rFonts w:ascii="Cambria" w:hAnsi="Cambria"/>
          <w:lang w:val="es-419"/>
        </w:rPr>
        <w:t xml:space="preserve"> </w:t>
      </w:r>
      <w:r w:rsidRPr="00E1616B">
        <w:rPr>
          <w:rFonts w:ascii="Cambria" w:hAnsi="Cambria"/>
          <w:lang w:val="es-419"/>
        </w:rPr>
        <w:t>kg/m</w:t>
      </w:r>
      <w:r w:rsidRPr="00E1616B">
        <w:rPr>
          <w:rFonts w:ascii="Cambria" w:hAnsi="Cambria"/>
          <w:vertAlign w:val="superscript"/>
          <w:lang w:val="es-419"/>
        </w:rPr>
        <w:t>2</w:t>
      </w:r>
      <w:r w:rsidRPr="00E1616B">
        <w:rPr>
          <w:rFonts w:ascii="Cambria" w:hAnsi="Cambria"/>
          <w:lang w:val="es-419"/>
        </w:rPr>
        <w:t>. Y vuelve a preguntar, si el articulo responde a la pregunta para lo cual, la Dra. Ávila</w:t>
      </w:r>
      <w:r w:rsidR="00DF612E" w:rsidRPr="00E1616B">
        <w:rPr>
          <w:rFonts w:ascii="Cambria" w:hAnsi="Cambria"/>
          <w:lang w:val="es-419"/>
        </w:rPr>
        <w:t>,</w:t>
      </w:r>
      <w:r w:rsidRPr="00E1616B">
        <w:rPr>
          <w:rFonts w:ascii="Cambria" w:hAnsi="Cambria"/>
          <w:lang w:val="es-419"/>
        </w:rPr>
        <w:t xml:space="preserve"> realiza nuevamente la acotación</w:t>
      </w:r>
      <w:r w:rsidR="00DF612E" w:rsidRPr="00E1616B">
        <w:rPr>
          <w:rFonts w:ascii="Cambria" w:hAnsi="Cambria"/>
          <w:lang w:val="es-419"/>
        </w:rPr>
        <w:t>,</w:t>
      </w:r>
      <w:r w:rsidRPr="00E1616B">
        <w:rPr>
          <w:rFonts w:ascii="Cambria" w:hAnsi="Cambria"/>
          <w:lang w:val="es-419"/>
        </w:rPr>
        <w:t xml:space="preserve"> que no responde a la pregunta</w:t>
      </w:r>
      <w:r w:rsidR="00DF612E" w:rsidRPr="00E1616B">
        <w:rPr>
          <w:rFonts w:ascii="Cambria" w:hAnsi="Cambria"/>
          <w:lang w:val="es-419"/>
        </w:rPr>
        <w:t>,</w:t>
      </w:r>
      <w:r w:rsidRPr="00E1616B">
        <w:rPr>
          <w:rFonts w:ascii="Cambria" w:hAnsi="Cambria"/>
          <w:lang w:val="es-419"/>
        </w:rPr>
        <w:t xml:space="preserve"> primero por no estar evaluando ningún estadístico de riesgo y segundo porque el artículo no alcanzó el poder estadístico</w:t>
      </w:r>
      <w:r w:rsidR="00DF612E" w:rsidRPr="00E1616B">
        <w:rPr>
          <w:rFonts w:ascii="Cambria" w:hAnsi="Cambria"/>
          <w:lang w:val="es-419"/>
        </w:rPr>
        <w:t xml:space="preserve"> suficiente</w:t>
      </w:r>
      <w:r w:rsidRPr="00E1616B">
        <w:rPr>
          <w:rFonts w:ascii="Cambria" w:hAnsi="Cambria"/>
          <w:lang w:val="es-419"/>
        </w:rPr>
        <w:t>, para lo cual la Dra. Infante realiza una intervención diciendo, que el artículo evalúa</w:t>
      </w:r>
      <w:r w:rsidRPr="00E1616B">
        <w:rPr>
          <w:rFonts w:ascii="Cambria" w:hAnsi="Cambria"/>
          <w:lang w:val="es-419"/>
        </w:rPr>
        <w:t xml:space="preserve"> es tratamiento</w:t>
      </w:r>
      <w:r w:rsidRPr="00E1616B">
        <w:rPr>
          <w:rFonts w:ascii="Cambria" w:hAnsi="Cambria"/>
          <w:lang w:val="es-419"/>
        </w:rPr>
        <w:t>, según lo mencionado en su título</w:t>
      </w:r>
      <w:r w:rsidRPr="00E1616B">
        <w:rPr>
          <w:rFonts w:ascii="Cambria" w:hAnsi="Cambria"/>
          <w:lang w:val="es-419"/>
        </w:rPr>
        <w:t xml:space="preserve">, </w:t>
      </w:r>
      <w:r w:rsidRPr="00E1616B">
        <w:rPr>
          <w:rFonts w:ascii="Cambria" w:hAnsi="Cambria"/>
          <w:lang w:val="es-419"/>
        </w:rPr>
        <w:t xml:space="preserve">y </w:t>
      </w:r>
      <w:r w:rsidR="00DF612E" w:rsidRPr="00E1616B">
        <w:rPr>
          <w:rFonts w:ascii="Cambria" w:hAnsi="Cambria"/>
          <w:lang w:val="es-419"/>
        </w:rPr>
        <w:t xml:space="preserve">por lo tanto, </w:t>
      </w:r>
      <w:r w:rsidRPr="00E1616B">
        <w:rPr>
          <w:rFonts w:ascii="Cambria" w:hAnsi="Cambria"/>
          <w:lang w:val="es-419"/>
        </w:rPr>
        <w:t xml:space="preserve">no se pueden </w:t>
      </w:r>
      <w:r w:rsidRPr="00E1616B">
        <w:rPr>
          <w:rFonts w:ascii="Cambria" w:hAnsi="Cambria"/>
          <w:lang w:val="es-419"/>
        </w:rPr>
        <w:lastRenderedPageBreak/>
        <w:t>evaluar eventos</w:t>
      </w:r>
      <w:r w:rsidRPr="00E1616B">
        <w:rPr>
          <w:rFonts w:ascii="Cambria" w:hAnsi="Cambria"/>
          <w:lang w:val="es-419"/>
        </w:rPr>
        <w:t>, a</w:t>
      </w:r>
      <w:r w:rsidRPr="00E1616B">
        <w:rPr>
          <w:rFonts w:ascii="Cambria" w:hAnsi="Cambria"/>
          <w:lang w:val="es-419"/>
        </w:rPr>
        <w:t>demás</w:t>
      </w:r>
      <w:r w:rsidRPr="00E1616B">
        <w:rPr>
          <w:rFonts w:ascii="Cambria" w:hAnsi="Cambria"/>
          <w:lang w:val="es-419"/>
        </w:rPr>
        <w:t>,</w:t>
      </w:r>
      <w:r w:rsidRPr="00E1616B">
        <w:rPr>
          <w:rFonts w:ascii="Cambria" w:hAnsi="Cambria"/>
          <w:lang w:val="es-419"/>
        </w:rPr>
        <w:t xml:space="preserve"> en vista que no </w:t>
      </w:r>
      <w:r w:rsidRPr="00E1616B">
        <w:rPr>
          <w:rFonts w:ascii="Cambria" w:hAnsi="Cambria"/>
          <w:lang w:val="es-419"/>
        </w:rPr>
        <w:t>incluyeron</w:t>
      </w:r>
      <w:r w:rsidRPr="00E1616B">
        <w:rPr>
          <w:rFonts w:ascii="Cambria" w:hAnsi="Cambria"/>
          <w:lang w:val="es-419"/>
        </w:rPr>
        <w:t xml:space="preserve"> 50 pacientes en cada grupo</w:t>
      </w:r>
      <w:r w:rsidR="00DF612E" w:rsidRPr="00E1616B">
        <w:rPr>
          <w:rFonts w:ascii="Cambria" w:hAnsi="Cambria"/>
          <w:lang w:val="es-419"/>
        </w:rPr>
        <w:t>,</w:t>
      </w:r>
      <w:r w:rsidRPr="00E1616B">
        <w:rPr>
          <w:rFonts w:ascii="Cambria" w:hAnsi="Cambria"/>
          <w:lang w:val="es-419"/>
        </w:rPr>
        <w:t xml:space="preserve"> no tiene el potencial </w:t>
      </w:r>
      <w:r w:rsidRPr="00E1616B">
        <w:rPr>
          <w:rFonts w:ascii="Cambria" w:hAnsi="Cambria"/>
          <w:lang w:val="es-419"/>
        </w:rPr>
        <w:t>estadístico</w:t>
      </w:r>
      <w:r w:rsidRPr="00E1616B">
        <w:rPr>
          <w:rFonts w:ascii="Cambria" w:hAnsi="Cambria"/>
          <w:lang w:val="es-419"/>
        </w:rPr>
        <w:t xml:space="preserve"> necesario</w:t>
      </w:r>
      <w:r w:rsidRPr="00E1616B">
        <w:rPr>
          <w:rFonts w:ascii="Cambria" w:hAnsi="Cambria"/>
          <w:lang w:val="es-419"/>
        </w:rPr>
        <w:t>, reafirmando que el artículo no responde a la pregunta del ciclo.</w:t>
      </w:r>
    </w:p>
    <w:p w:rsidR="00B4229D" w:rsidRPr="00E1616B" w:rsidRDefault="00DF612E" w:rsidP="00B4229D">
      <w:pPr>
        <w:rPr>
          <w:rFonts w:ascii="Cambria" w:hAnsi="Cambria"/>
          <w:lang w:val="es-419"/>
        </w:rPr>
      </w:pPr>
      <w:r w:rsidRPr="00E1616B">
        <w:rPr>
          <w:rFonts w:ascii="Cambria" w:hAnsi="Cambria"/>
          <w:lang w:val="es-419"/>
        </w:rPr>
        <w:t xml:space="preserve">     </w:t>
      </w:r>
      <w:r w:rsidR="00F01368" w:rsidRPr="00E1616B">
        <w:rPr>
          <w:rFonts w:ascii="Cambria" w:hAnsi="Cambria"/>
          <w:lang w:val="es-419"/>
        </w:rPr>
        <w:t xml:space="preserve">La Dra. Infante pregunta, </w:t>
      </w:r>
      <w:r w:rsidR="00B4229D" w:rsidRPr="00E1616B">
        <w:rPr>
          <w:rFonts w:ascii="Cambria" w:hAnsi="Cambria"/>
          <w:lang w:val="es-419"/>
        </w:rPr>
        <w:t>¿de cuáles</w:t>
      </w:r>
      <w:r w:rsidR="00F01368" w:rsidRPr="00E1616B">
        <w:rPr>
          <w:rFonts w:ascii="Cambria" w:hAnsi="Cambria"/>
          <w:lang w:val="es-419"/>
        </w:rPr>
        <w:t xml:space="preserve"> eventos habla el estudio?</w:t>
      </w:r>
      <w:r w:rsidR="00B4229D" w:rsidRPr="00E1616B">
        <w:rPr>
          <w:rFonts w:ascii="Cambria" w:hAnsi="Cambria"/>
          <w:lang w:val="es-419"/>
        </w:rPr>
        <w:t xml:space="preserve"> c</w:t>
      </w:r>
      <w:r w:rsidR="00F01368" w:rsidRPr="00E1616B">
        <w:rPr>
          <w:rFonts w:ascii="Cambria" w:hAnsi="Cambria"/>
          <w:lang w:val="es-419"/>
        </w:rPr>
        <w:t>uando dice 40</w:t>
      </w:r>
      <w:r w:rsidR="00B4229D" w:rsidRPr="00E1616B">
        <w:rPr>
          <w:rFonts w:ascii="Cambria" w:hAnsi="Cambria"/>
          <w:lang w:val="es-419"/>
        </w:rPr>
        <w:t xml:space="preserve"> </w:t>
      </w:r>
      <w:r w:rsidR="00F01368" w:rsidRPr="00E1616B">
        <w:rPr>
          <w:rFonts w:ascii="Cambria" w:hAnsi="Cambria"/>
          <w:lang w:val="es-419"/>
        </w:rPr>
        <w:t xml:space="preserve">% en el grupo </w:t>
      </w:r>
      <w:r w:rsidRPr="00E1616B">
        <w:rPr>
          <w:rFonts w:ascii="Cambria" w:hAnsi="Cambria"/>
          <w:lang w:val="es-419"/>
        </w:rPr>
        <w:t>de dosis reducida</w:t>
      </w:r>
      <w:r w:rsidR="00F01368" w:rsidRPr="00E1616B">
        <w:rPr>
          <w:rFonts w:ascii="Cambria" w:hAnsi="Cambria"/>
          <w:lang w:val="es-419"/>
        </w:rPr>
        <w:t xml:space="preserve">, </w:t>
      </w:r>
      <w:r w:rsidR="00B4229D" w:rsidRPr="00E1616B">
        <w:rPr>
          <w:rFonts w:ascii="Cambria" w:hAnsi="Cambria"/>
          <w:lang w:val="es-419"/>
        </w:rPr>
        <w:t>y ¿qué porcentaje se aplicó al grupo de dosis estándar?, al cual la Dra. Ávila responde, que en la prosa del artículo menciona que los eventos son hemorragia mayor, hemorragia menor, y nueva trombosis, sin embargo, sólo en el caso del grupo que utilizó dosis reducida, no explicándose porcentaje ni eventos en el grupo con dosis estándar, a lo que la Dra. Infante comentó que no</w:t>
      </w:r>
      <w:r w:rsidR="00F01368" w:rsidRPr="00E1616B">
        <w:rPr>
          <w:rFonts w:ascii="Cambria" w:hAnsi="Cambria"/>
          <w:lang w:val="es-419"/>
        </w:rPr>
        <w:t xml:space="preserve"> tiene sentido</w:t>
      </w:r>
      <w:r w:rsidR="00B4229D" w:rsidRPr="00E1616B">
        <w:rPr>
          <w:rFonts w:ascii="Cambria" w:hAnsi="Cambria"/>
          <w:lang w:val="es-419"/>
        </w:rPr>
        <w:t>,</w:t>
      </w:r>
      <w:r w:rsidR="00F01368" w:rsidRPr="00E1616B">
        <w:rPr>
          <w:rFonts w:ascii="Cambria" w:hAnsi="Cambria"/>
          <w:lang w:val="es-419"/>
        </w:rPr>
        <w:t xml:space="preserve"> </w:t>
      </w:r>
      <w:r w:rsidR="00B4229D" w:rsidRPr="00E1616B">
        <w:rPr>
          <w:rFonts w:ascii="Cambria" w:hAnsi="Cambria"/>
          <w:lang w:val="es-419"/>
        </w:rPr>
        <w:t>puesto que</w:t>
      </w:r>
      <w:r w:rsidR="00F01368" w:rsidRPr="00E1616B">
        <w:rPr>
          <w:rFonts w:ascii="Cambria" w:hAnsi="Cambria"/>
          <w:lang w:val="es-419"/>
        </w:rPr>
        <w:t xml:space="preserve"> había que asignarle también al grupo estándar un porcentaje de eventos.</w:t>
      </w:r>
      <w:r w:rsidR="00B4229D" w:rsidRPr="00E1616B">
        <w:rPr>
          <w:rFonts w:ascii="Cambria" w:hAnsi="Cambria"/>
          <w:lang w:val="es-419"/>
        </w:rPr>
        <w:t xml:space="preserve"> Acotando, además, que en la tabla número tres, </w:t>
      </w:r>
      <w:r w:rsidR="00B4229D" w:rsidRPr="00E1616B">
        <w:rPr>
          <w:rFonts w:ascii="Cambria" w:hAnsi="Cambria"/>
          <w:lang w:val="es-419"/>
        </w:rPr>
        <w:t xml:space="preserve">se evidencia </w:t>
      </w:r>
      <w:r w:rsidR="00B4229D" w:rsidRPr="00E1616B">
        <w:rPr>
          <w:rFonts w:ascii="Cambria" w:hAnsi="Cambria"/>
          <w:lang w:val="es-419"/>
        </w:rPr>
        <w:t xml:space="preserve">es un </w:t>
      </w:r>
      <w:r w:rsidR="00B4229D" w:rsidRPr="00E1616B">
        <w:rPr>
          <w:rFonts w:ascii="Cambria" w:hAnsi="Cambria"/>
          <w:lang w:val="es-419"/>
        </w:rPr>
        <w:t>comportamiento esperado por cada dosis</w:t>
      </w:r>
      <w:r w:rsidR="00B4229D" w:rsidRPr="00E1616B">
        <w:rPr>
          <w:rFonts w:ascii="Cambria" w:hAnsi="Cambria"/>
          <w:lang w:val="es-419"/>
        </w:rPr>
        <w:t xml:space="preserve">, siendo el mismo </w:t>
      </w:r>
      <w:r w:rsidR="00B4229D" w:rsidRPr="00E1616B">
        <w:rPr>
          <w:rFonts w:ascii="Cambria" w:hAnsi="Cambria"/>
          <w:lang w:val="es-419"/>
        </w:rPr>
        <w:t>fisiológico</w:t>
      </w:r>
      <w:r w:rsidR="00B4229D" w:rsidRPr="00E1616B">
        <w:rPr>
          <w:rFonts w:ascii="Cambria" w:hAnsi="Cambria"/>
          <w:lang w:val="es-419"/>
        </w:rPr>
        <w:t>, e</w:t>
      </w:r>
      <w:r w:rsidR="00B4229D" w:rsidRPr="00E1616B">
        <w:rPr>
          <w:rFonts w:ascii="Cambria" w:hAnsi="Cambria"/>
          <w:lang w:val="es-419"/>
        </w:rPr>
        <w:t>n relación al sangrado, como</w:t>
      </w:r>
      <w:r w:rsidRPr="00E1616B">
        <w:rPr>
          <w:rFonts w:ascii="Cambria" w:hAnsi="Cambria"/>
          <w:lang w:val="es-419"/>
        </w:rPr>
        <w:t xml:space="preserve"> la muestra es muy pequeña no dio ningún resultado</w:t>
      </w:r>
      <w:r w:rsidR="00B4229D" w:rsidRPr="00E1616B">
        <w:rPr>
          <w:rFonts w:ascii="Cambria" w:hAnsi="Cambria"/>
          <w:lang w:val="es-419"/>
        </w:rPr>
        <w:t>, ni tampoco en nuevos eventos trombóticos, por otro lado, el</w:t>
      </w:r>
      <w:r w:rsidR="00B4229D" w:rsidRPr="00E1616B">
        <w:rPr>
          <w:rFonts w:ascii="Cambria" w:hAnsi="Cambria"/>
          <w:lang w:val="es-419"/>
        </w:rPr>
        <w:t xml:space="preserve"> artículo solo </w:t>
      </w:r>
      <w:r w:rsidR="00B4229D" w:rsidRPr="00E1616B">
        <w:rPr>
          <w:rFonts w:ascii="Cambria" w:hAnsi="Cambria"/>
          <w:lang w:val="es-419"/>
        </w:rPr>
        <w:t>está</w:t>
      </w:r>
      <w:r w:rsidR="00B4229D" w:rsidRPr="00E1616B">
        <w:rPr>
          <w:rFonts w:ascii="Cambria" w:hAnsi="Cambria"/>
          <w:lang w:val="es-419"/>
        </w:rPr>
        <w:t xml:space="preserve"> evaluando el comportamiento o efectividad de </w:t>
      </w:r>
      <w:r w:rsidR="00B4229D" w:rsidRPr="00E1616B">
        <w:rPr>
          <w:rFonts w:ascii="Cambria" w:hAnsi="Cambria"/>
          <w:lang w:val="es-419"/>
        </w:rPr>
        <w:t xml:space="preserve">Enoxaparina sódica, planteando una hipótesis, donde incluyen eventos, pero en realidad no los evaluaron. </w:t>
      </w:r>
    </w:p>
    <w:p w:rsidR="00B4229D" w:rsidRPr="00E1616B" w:rsidRDefault="00DF612E" w:rsidP="00B4229D">
      <w:pPr>
        <w:rPr>
          <w:rFonts w:ascii="Cambria" w:hAnsi="Cambria"/>
          <w:lang w:val="es-419"/>
        </w:rPr>
      </w:pPr>
      <w:r w:rsidRPr="00E1616B">
        <w:rPr>
          <w:rFonts w:ascii="Cambria" w:hAnsi="Cambria"/>
          <w:lang w:val="es-419"/>
        </w:rPr>
        <w:t xml:space="preserve">     </w:t>
      </w:r>
      <w:r w:rsidR="00B4229D" w:rsidRPr="00E1616B">
        <w:rPr>
          <w:rFonts w:ascii="Cambria" w:hAnsi="Cambria"/>
          <w:lang w:val="es-419"/>
        </w:rPr>
        <w:t>La Dra. Ávila, realiza la acotación, que a pesar que fue un estudio que no resulto con poder estadístico</w:t>
      </w:r>
      <w:r w:rsidR="00D609E4" w:rsidRPr="00E1616B">
        <w:rPr>
          <w:rFonts w:ascii="Cambria" w:hAnsi="Cambria"/>
          <w:lang w:val="es-419"/>
        </w:rPr>
        <w:t xml:space="preserve"> suficiente para sus resultados y que no responde a la pregunta</w:t>
      </w:r>
      <w:r w:rsidR="00B4229D" w:rsidRPr="00E1616B">
        <w:rPr>
          <w:rFonts w:ascii="Cambria" w:hAnsi="Cambria"/>
          <w:lang w:val="es-419"/>
        </w:rPr>
        <w:t>, para</w:t>
      </w:r>
      <w:r w:rsidR="00D609E4" w:rsidRPr="00E1616B">
        <w:rPr>
          <w:rFonts w:ascii="Cambria" w:hAnsi="Cambria"/>
          <w:lang w:val="es-419"/>
        </w:rPr>
        <w:t xml:space="preserve"> hablar de nuevos eventos cardiovasculares con la comparación de las dosis estándar vs reducida, nos deja algo muy interesante para las nuevas pautas en coronarios, y es que en dicho servicio </w:t>
      </w:r>
      <w:r w:rsidRPr="00E1616B">
        <w:rPr>
          <w:rFonts w:ascii="Cambria" w:hAnsi="Cambria"/>
          <w:lang w:val="es-419"/>
        </w:rPr>
        <w:t>se utiliza</w:t>
      </w:r>
      <w:r w:rsidR="00D609E4" w:rsidRPr="00E1616B">
        <w:rPr>
          <w:rFonts w:ascii="Cambria" w:hAnsi="Cambria"/>
          <w:lang w:val="es-419"/>
        </w:rPr>
        <w:t xml:space="preserve"> hasta una dosis máxima de 120 mg BID, sin embargo, con este estudio podemos ver que incluso utilizando de 1</w:t>
      </w:r>
      <w:r w:rsidRPr="00E1616B">
        <w:rPr>
          <w:rFonts w:ascii="Cambria" w:hAnsi="Cambria"/>
          <w:lang w:val="es-419"/>
        </w:rPr>
        <w:t>50 mg BID, no se han evidenciaron</w:t>
      </w:r>
      <w:r w:rsidR="00D609E4" w:rsidRPr="00E1616B">
        <w:rPr>
          <w:rFonts w:ascii="Cambria" w:hAnsi="Cambria"/>
          <w:lang w:val="es-419"/>
        </w:rPr>
        <w:t xml:space="preserve"> eventos cardiovasculares. </w:t>
      </w:r>
    </w:p>
    <w:p w:rsidR="00D609E4" w:rsidRPr="00E1616B" w:rsidRDefault="00DF612E" w:rsidP="00D609E4">
      <w:pPr>
        <w:rPr>
          <w:rFonts w:ascii="Cambria" w:hAnsi="Cambria"/>
          <w:lang w:val="es-419"/>
        </w:rPr>
      </w:pPr>
      <w:r w:rsidRPr="00E1616B">
        <w:rPr>
          <w:rFonts w:ascii="Cambria" w:hAnsi="Cambria"/>
          <w:lang w:val="es-419"/>
        </w:rPr>
        <w:t xml:space="preserve">     </w:t>
      </w:r>
      <w:r w:rsidR="00D609E4" w:rsidRPr="00E1616B">
        <w:rPr>
          <w:rFonts w:ascii="Cambria" w:hAnsi="Cambria"/>
          <w:lang w:val="es-419"/>
        </w:rPr>
        <w:t xml:space="preserve">La Dra. Mogollón, además hace el aporte, que, </w:t>
      </w:r>
      <w:r w:rsidR="00D609E4" w:rsidRPr="00E1616B">
        <w:rPr>
          <w:rFonts w:ascii="Cambria" w:hAnsi="Cambria"/>
          <w:lang w:val="es-419"/>
        </w:rPr>
        <w:t>si bien no se pudo evaluar los eventos</w:t>
      </w:r>
      <w:r w:rsidR="00A82985" w:rsidRPr="00E1616B">
        <w:rPr>
          <w:rFonts w:ascii="Cambria" w:hAnsi="Cambria"/>
          <w:lang w:val="es-419"/>
        </w:rPr>
        <w:t xml:space="preserve"> porque no habían estadísticos para el mismo</w:t>
      </w:r>
      <w:r w:rsidR="00D609E4" w:rsidRPr="00E1616B">
        <w:rPr>
          <w:rFonts w:ascii="Cambria" w:hAnsi="Cambria"/>
          <w:lang w:val="es-419"/>
        </w:rPr>
        <w:t>,</w:t>
      </w:r>
      <w:r w:rsidR="00A82985" w:rsidRPr="00E1616B">
        <w:rPr>
          <w:rFonts w:ascii="Cambria" w:hAnsi="Cambria"/>
          <w:lang w:val="es-419"/>
        </w:rPr>
        <w:t xml:space="preserve"> lo que si permitió fue, estudiar el comportamiento farmacológico de la </w:t>
      </w:r>
      <w:proofErr w:type="spellStart"/>
      <w:r w:rsidR="00A82985" w:rsidRPr="00E1616B">
        <w:rPr>
          <w:rFonts w:ascii="Cambria" w:hAnsi="Cambria"/>
          <w:lang w:val="es-419"/>
        </w:rPr>
        <w:t>Enoxaparina</w:t>
      </w:r>
      <w:proofErr w:type="spellEnd"/>
      <w:r w:rsidR="00A82985" w:rsidRPr="00E1616B">
        <w:rPr>
          <w:rFonts w:ascii="Cambria" w:hAnsi="Cambria"/>
          <w:lang w:val="es-419"/>
        </w:rPr>
        <w:t xml:space="preserve"> sódica, de manera tal que se pudo confirmar que los pacientes con IMC </w:t>
      </w:r>
      <w:r w:rsidR="00A82985" w:rsidRPr="00E1616B">
        <w:rPr>
          <w:rFonts w:ascii="Cambria" w:hAnsi="Cambria"/>
          <w:lang w:val="es-419"/>
        </w:rPr>
        <w:t>&gt; 40 kg/m</w:t>
      </w:r>
      <w:r w:rsidR="00A82985" w:rsidRPr="00E1616B">
        <w:rPr>
          <w:rFonts w:ascii="Cambria" w:hAnsi="Cambria"/>
          <w:vertAlign w:val="superscript"/>
          <w:lang w:val="es-419"/>
        </w:rPr>
        <w:t>2</w:t>
      </w:r>
      <w:r w:rsidR="00D609E4" w:rsidRPr="00E1616B">
        <w:rPr>
          <w:rFonts w:ascii="Cambria" w:hAnsi="Cambria"/>
          <w:lang w:val="es-419"/>
        </w:rPr>
        <w:t>,</w:t>
      </w:r>
      <w:r w:rsidR="00A82985" w:rsidRPr="00E1616B">
        <w:rPr>
          <w:rFonts w:ascii="Cambria" w:hAnsi="Cambria"/>
          <w:lang w:val="es-419"/>
        </w:rPr>
        <w:t xml:space="preserve"> alcanzaron en el mismo periodo, </w:t>
      </w:r>
      <w:r w:rsidRPr="00E1616B">
        <w:rPr>
          <w:rFonts w:ascii="Cambria" w:hAnsi="Cambria"/>
          <w:lang w:val="es-419"/>
        </w:rPr>
        <w:t xml:space="preserve">la meta de </w:t>
      </w:r>
      <w:r w:rsidR="00A82985" w:rsidRPr="00E1616B">
        <w:rPr>
          <w:rFonts w:ascii="Cambria" w:hAnsi="Cambria"/>
          <w:lang w:val="es-419"/>
        </w:rPr>
        <w:t xml:space="preserve">anti factor </w:t>
      </w:r>
      <w:proofErr w:type="spellStart"/>
      <w:r w:rsidR="00A82985" w:rsidRPr="00E1616B">
        <w:rPr>
          <w:rFonts w:ascii="Cambria" w:hAnsi="Cambria"/>
          <w:lang w:val="es-419"/>
        </w:rPr>
        <w:t>Xa</w:t>
      </w:r>
      <w:proofErr w:type="spellEnd"/>
      <w:r w:rsidR="00A82985" w:rsidRPr="00E1616B">
        <w:rPr>
          <w:rFonts w:ascii="Cambria" w:hAnsi="Cambria"/>
          <w:lang w:val="es-419"/>
        </w:rPr>
        <w:t xml:space="preserve"> en rango terapéutico, y además de esto no tuvo diferencias significativas, en contraposición en lo previo visto </w:t>
      </w:r>
      <w:r w:rsidRPr="00E1616B">
        <w:rPr>
          <w:rFonts w:ascii="Cambria" w:hAnsi="Cambria"/>
          <w:lang w:val="es-419"/>
        </w:rPr>
        <w:t xml:space="preserve">en artículos anteriores, </w:t>
      </w:r>
      <w:r w:rsidR="00A82985" w:rsidRPr="00E1616B">
        <w:rPr>
          <w:rFonts w:ascii="Cambria" w:hAnsi="Cambria"/>
          <w:lang w:val="es-419"/>
        </w:rPr>
        <w:t xml:space="preserve">con los bajo peso, que alcanzaban rango terapéutico más pronto, </w:t>
      </w:r>
      <w:r w:rsidRPr="00E1616B">
        <w:rPr>
          <w:rFonts w:ascii="Cambria" w:hAnsi="Cambria"/>
          <w:lang w:val="es-419"/>
        </w:rPr>
        <w:t>y</w:t>
      </w:r>
      <w:r w:rsidR="00A82985" w:rsidRPr="00E1616B">
        <w:rPr>
          <w:rFonts w:ascii="Cambria" w:hAnsi="Cambria"/>
          <w:lang w:val="es-419"/>
        </w:rPr>
        <w:t xml:space="preserve"> pasaban a </w:t>
      </w:r>
      <w:r w:rsidRPr="00E1616B">
        <w:rPr>
          <w:rFonts w:ascii="Cambria" w:hAnsi="Cambria"/>
          <w:lang w:val="es-419"/>
        </w:rPr>
        <w:t xml:space="preserve">incluso </w:t>
      </w:r>
      <w:r w:rsidR="00A82985" w:rsidRPr="00E1616B">
        <w:rPr>
          <w:rFonts w:ascii="Cambria" w:hAnsi="Cambria"/>
          <w:lang w:val="es-419"/>
        </w:rPr>
        <w:t xml:space="preserve">rango </w:t>
      </w:r>
      <w:proofErr w:type="spellStart"/>
      <w:r w:rsidR="00A82985" w:rsidRPr="00E1616B">
        <w:rPr>
          <w:rFonts w:ascii="Cambria" w:hAnsi="Cambria"/>
          <w:lang w:val="es-419"/>
        </w:rPr>
        <w:t>supraterapéutico</w:t>
      </w:r>
      <w:proofErr w:type="spellEnd"/>
      <w:r w:rsidRPr="00E1616B">
        <w:rPr>
          <w:rFonts w:ascii="Cambria" w:hAnsi="Cambria"/>
          <w:lang w:val="es-419"/>
        </w:rPr>
        <w:t xml:space="preserve"> mas </w:t>
      </w:r>
      <w:proofErr w:type="spellStart"/>
      <w:r w:rsidRPr="00E1616B">
        <w:rPr>
          <w:rFonts w:ascii="Cambria" w:hAnsi="Cambria"/>
          <w:lang w:val="es-419"/>
        </w:rPr>
        <w:t>rapidamente</w:t>
      </w:r>
      <w:proofErr w:type="spellEnd"/>
      <w:r w:rsidR="00A82985" w:rsidRPr="00E1616B">
        <w:rPr>
          <w:rFonts w:ascii="Cambria" w:hAnsi="Cambria"/>
          <w:lang w:val="es-419"/>
        </w:rPr>
        <w:t>, y se pudo confirmar que ambas dosis no tienen variabilidad, y que nos habla de seguridad en la utilización de este fármaco</w:t>
      </w:r>
      <w:r w:rsidR="00E1616B" w:rsidRPr="00E1616B">
        <w:rPr>
          <w:rFonts w:ascii="Cambria" w:hAnsi="Cambria"/>
          <w:lang w:val="es-419"/>
        </w:rPr>
        <w:t xml:space="preserve"> en este tipo de pacientes, a</w:t>
      </w:r>
      <w:r w:rsidR="00A82985" w:rsidRPr="00E1616B">
        <w:rPr>
          <w:rFonts w:ascii="Cambria" w:hAnsi="Cambria"/>
          <w:lang w:val="es-419"/>
        </w:rPr>
        <w:t xml:space="preserve"> partir de ahí entonces generar las pautas para el ciclo, y La </w:t>
      </w:r>
      <w:r w:rsidR="00F830D4" w:rsidRPr="00E1616B">
        <w:rPr>
          <w:rFonts w:ascii="Cambria" w:hAnsi="Cambria"/>
          <w:lang w:val="es-419"/>
        </w:rPr>
        <w:t>Dra. Infante, también menciona que no hubo eventos porque ambos grupos se mantuvieron en rango.</w:t>
      </w:r>
    </w:p>
    <w:p w:rsidR="00F830D4" w:rsidRPr="00E1616B" w:rsidRDefault="00E1616B" w:rsidP="00D609E4">
      <w:pPr>
        <w:rPr>
          <w:rFonts w:ascii="Cambria" w:hAnsi="Cambria"/>
          <w:lang w:val="es-419"/>
        </w:rPr>
      </w:pPr>
      <w:r w:rsidRPr="00E1616B">
        <w:rPr>
          <w:rFonts w:ascii="Cambria" w:hAnsi="Cambria"/>
          <w:lang w:val="es-419"/>
        </w:rPr>
        <w:t xml:space="preserve">     </w:t>
      </w:r>
      <w:r w:rsidR="00F830D4" w:rsidRPr="00E1616B">
        <w:rPr>
          <w:rFonts w:ascii="Cambria" w:hAnsi="Cambria"/>
          <w:lang w:val="es-419"/>
        </w:rPr>
        <w:t>El Dr. Ascencio, menciona, que l</w:t>
      </w:r>
      <w:r w:rsidR="00F830D4" w:rsidRPr="00E1616B">
        <w:rPr>
          <w:rFonts w:ascii="Cambria" w:hAnsi="Cambria"/>
          <w:lang w:val="es-419"/>
        </w:rPr>
        <w:t xml:space="preserve">amentablemente no son confiables los resultados. Debido a que no hay potencial </w:t>
      </w:r>
      <w:r w:rsidR="00F830D4" w:rsidRPr="00E1616B">
        <w:rPr>
          <w:rFonts w:ascii="Cambria" w:hAnsi="Cambria"/>
          <w:lang w:val="es-419"/>
        </w:rPr>
        <w:t>estadístico, diciendo, además, que quizás los resultados fueran estadísticamente significativos</w:t>
      </w:r>
      <w:r w:rsidRPr="00E1616B">
        <w:rPr>
          <w:rFonts w:ascii="Cambria" w:hAnsi="Cambria"/>
          <w:lang w:val="es-419"/>
        </w:rPr>
        <w:t>,</w:t>
      </w:r>
      <w:r w:rsidR="00F830D4" w:rsidRPr="00E1616B">
        <w:rPr>
          <w:rFonts w:ascii="Cambria" w:hAnsi="Cambria"/>
          <w:lang w:val="es-419"/>
        </w:rPr>
        <w:t xml:space="preserve"> porque tal vez presenten error de tipo II.</w:t>
      </w:r>
    </w:p>
    <w:p w:rsidR="00F830D4" w:rsidRPr="00E1616B" w:rsidRDefault="00E1616B" w:rsidP="00D609E4">
      <w:pPr>
        <w:rPr>
          <w:rFonts w:ascii="Cambria" w:hAnsi="Cambria"/>
          <w:lang w:val="es-419"/>
        </w:rPr>
      </w:pPr>
      <w:r w:rsidRPr="00E1616B">
        <w:rPr>
          <w:rFonts w:ascii="Cambria" w:hAnsi="Cambria"/>
          <w:lang w:val="es-419"/>
        </w:rPr>
        <w:t xml:space="preserve">     </w:t>
      </w:r>
      <w:r w:rsidR="00F830D4" w:rsidRPr="00E1616B">
        <w:rPr>
          <w:rFonts w:ascii="Cambria" w:hAnsi="Cambria"/>
          <w:lang w:val="es-419"/>
        </w:rPr>
        <w:t>La Dra. González, explica que n</w:t>
      </w:r>
      <w:r w:rsidR="00F830D4" w:rsidRPr="00E1616B">
        <w:rPr>
          <w:rFonts w:ascii="Cambria" w:hAnsi="Cambria"/>
          <w:lang w:val="es-419"/>
        </w:rPr>
        <w:t>o se puede saber s</w:t>
      </w:r>
      <w:r w:rsidR="00F830D4" w:rsidRPr="00E1616B">
        <w:rPr>
          <w:rFonts w:ascii="Cambria" w:hAnsi="Cambria"/>
          <w:lang w:val="es-419"/>
        </w:rPr>
        <w:t>i incrementa los eventos o no. L</w:t>
      </w:r>
      <w:r w:rsidR="00F830D4" w:rsidRPr="00E1616B">
        <w:rPr>
          <w:rFonts w:ascii="Cambria" w:hAnsi="Cambria"/>
          <w:lang w:val="es-419"/>
        </w:rPr>
        <w:t xml:space="preserve">os artículos que estamos estudiando están rompiendo paradigmas debido a que creíamos que dosis menores de 0.8 no hacían nada y </w:t>
      </w:r>
      <w:r w:rsidR="00F830D4" w:rsidRPr="00E1616B">
        <w:rPr>
          <w:rFonts w:ascii="Cambria" w:hAnsi="Cambria"/>
          <w:lang w:val="es-419"/>
        </w:rPr>
        <w:t xml:space="preserve">pudimos evidenciar que se mantiene en rango de anti factor </w:t>
      </w:r>
      <w:proofErr w:type="spellStart"/>
      <w:r w:rsidR="00F830D4" w:rsidRPr="00E1616B">
        <w:rPr>
          <w:rFonts w:ascii="Cambria" w:hAnsi="Cambria"/>
          <w:lang w:val="es-419"/>
        </w:rPr>
        <w:t>Xa</w:t>
      </w:r>
      <w:proofErr w:type="spellEnd"/>
      <w:r w:rsidR="00F830D4" w:rsidRPr="00E1616B">
        <w:rPr>
          <w:rFonts w:ascii="Cambria" w:hAnsi="Cambria"/>
          <w:lang w:val="es-419"/>
        </w:rPr>
        <w:t>, y que los dos extremos no</w:t>
      </w:r>
      <w:r w:rsidR="00F830D4" w:rsidRPr="00E1616B">
        <w:rPr>
          <w:rFonts w:ascii="Cambria" w:hAnsi="Cambria"/>
          <w:lang w:val="es-419"/>
        </w:rPr>
        <w:t xml:space="preserve"> son tan irregulares como creíamos.</w:t>
      </w:r>
    </w:p>
    <w:p w:rsidR="00F830D4" w:rsidRPr="00E1616B" w:rsidRDefault="00E1616B" w:rsidP="00D609E4">
      <w:pPr>
        <w:rPr>
          <w:rFonts w:ascii="Cambria" w:hAnsi="Cambria"/>
          <w:lang w:val="es-419"/>
        </w:rPr>
      </w:pPr>
      <w:r w:rsidRPr="00E1616B">
        <w:rPr>
          <w:rFonts w:ascii="Cambria" w:hAnsi="Cambria"/>
          <w:lang w:val="es-419"/>
        </w:rPr>
        <w:t xml:space="preserve">     </w:t>
      </w:r>
      <w:r w:rsidR="00F830D4" w:rsidRPr="00E1616B">
        <w:rPr>
          <w:rFonts w:ascii="Cambria" w:hAnsi="Cambria"/>
          <w:lang w:val="es-419"/>
        </w:rPr>
        <w:t>El Dr. Ortiz, nos acota que tal vez la recolección del estudio fue tal difícil y no se alcanzó poder estadístico, por la poca población que presenta IMC &gt; 40 kg/m</w:t>
      </w:r>
      <w:r w:rsidR="00F830D4" w:rsidRPr="00E1616B">
        <w:rPr>
          <w:rFonts w:ascii="Cambria" w:hAnsi="Cambria"/>
          <w:vertAlign w:val="superscript"/>
          <w:lang w:val="es-419"/>
        </w:rPr>
        <w:t>2</w:t>
      </w:r>
      <w:r w:rsidR="00F830D4" w:rsidRPr="00E1616B">
        <w:rPr>
          <w:rFonts w:ascii="Cambria" w:hAnsi="Cambria"/>
          <w:lang w:val="es-419"/>
        </w:rPr>
        <w:t xml:space="preserve">. Y que tal vez, si fuese incluido a obesos con </w:t>
      </w:r>
      <w:r w:rsidR="00F830D4" w:rsidRPr="00E1616B">
        <w:rPr>
          <w:rFonts w:ascii="Cambria" w:hAnsi="Cambria"/>
          <w:lang w:val="es-419"/>
        </w:rPr>
        <w:t>IMC &gt; 40 kg/m</w:t>
      </w:r>
      <w:r w:rsidR="00F830D4" w:rsidRPr="00E1616B">
        <w:rPr>
          <w:rFonts w:ascii="Cambria" w:hAnsi="Cambria"/>
          <w:vertAlign w:val="superscript"/>
          <w:lang w:val="es-419"/>
        </w:rPr>
        <w:t>2</w:t>
      </w:r>
      <w:r w:rsidR="00F830D4" w:rsidRPr="00E1616B">
        <w:rPr>
          <w:rFonts w:ascii="Cambria" w:hAnsi="Cambria"/>
          <w:lang w:val="es-419"/>
        </w:rPr>
        <w:t>, podríamos tener resultados satisfactorios.</w:t>
      </w:r>
    </w:p>
    <w:p w:rsidR="00F830D4" w:rsidRPr="00E1616B" w:rsidRDefault="00E1616B" w:rsidP="00D609E4">
      <w:pPr>
        <w:rPr>
          <w:rFonts w:ascii="Cambria" w:hAnsi="Cambria"/>
          <w:lang w:val="es-419"/>
        </w:rPr>
      </w:pPr>
      <w:r w:rsidRPr="00E1616B">
        <w:rPr>
          <w:rFonts w:ascii="Cambria" w:hAnsi="Cambria"/>
          <w:lang w:val="es-419"/>
        </w:rPr>
        <w:lastRenderedPageBreak/>
        <w:t xml:space="preserve">     </w:t>
      </w:r>
      <w:r w:rsidR="00F830D4" w:rsidRPr="00E1616B">
        <w:rPr>
          <w:rFonts w:ascii="Cambria" w:hAnsi="Cambria"/>
          <w:lang w:val="es-419"/>
        </w:rPr>
        <w:t xml:space="preserve">La Dra. Gauna, </w:t>
      </w:r>
      <w:r w:rsidR="00072DF1" w:rsidRPr="00E1616B">
        <w:rPr>
          <w:rFonts w:ascii="Cambria" w:hAnsi="Cambria"/>
          <w:lang w:val="es-419"/>
        </w:rPr>
        <w:t xml:space="preserve">respecto a la lista de cotejo, menciona que no se está realizando en el país anti factor </w:t>
      </w:r>
      <w:proofErr w:type="spellStart"/>
      <w:r w:rsidR="00072DF1" w:rsidRPr="00E1616B">
        <w:rPr>
          <w:rFonts w:ascii="Cambria" w:hAnsi="Cambria"/>
          <w:lang w:val="es-419"/>
        </w:rPr>
        <w:t>Xa</w:t>
      </w:r>
      <w:proofErr w:type="spellEnd"/>
      <w:r w:rsidR="00072DF1" w:rsidRPr="00E1616B">
        <w:rPr>
          <w:rFonts w:ascii="Cambria" w:hAnsi="Cambria"/>
          <w:lang w:val="es-419"/>
        </w:rPr>
        <w:t xml:space="preserve">, por lo cual, </w:t>
      </w:r>
      <w:r w:rsidR="00DF612E" w:rsidRPr="00E1616B">
        <w:rPr>
          <w:rFonts w:ascii="Cambria" w:hAnsi="Cambria"/>
          <w:lang w:val="es-419"/>
        </w:rPr>
        <w:t xml:space="preserve">la pregunta numero 14 sería no, ya que no contamos para la monitorización de </w:t>
      </w:r>
      <w:proofErr w:type="spellStart"/>
      <w:r w:rsidR="00DF612E" w:rsidRPr="00E1616B">
        <w:rPr>
          <w:rFonts w:ascii="Cambria" w:hAnsi="Cambria"/>
          <w:lang w:val="es-419"/>
        </w:rPr>
        <w:t>Enoxaparina</w:t>
      </w:r>
      <w:proofErr w:type="spellEnd"/>
      <w:r w:rsidR="00DF612E" w:rsidRPr="00E1616B">
        <w:rPr>
          <w:rFonts w:ascii="Cambria" w:hAnsi="Cambria"/>
          <w:lang w:val="es-419"/>
        </w:rPr>
        <w:t xml:space="preserve"> sódica.</w:t>
      </w:r>
    </w:p>
    <w:p w:rsidR="003838C4" w:rsidRPr="00E1616B" w:rsidRDefault="00E1616B" w:rsidP="00DF612E">
      <w:pPr>
        <w:rPr>
          <w:rFonts w:ascii="Cambria" w:hAnsi="Cambria"/>
          <w:lang w:val="es-419"/>
        </w:rPr>
      </w:pPr>
      <w:r w:rsidRPr="00E1616B">
        <w:rPr>
          <w:rFonts w:ascii="Cambria" w:hAnsi="Cambria"/>
        </w:rPr>
        <w:t xml:space="preserve">     </w:t>
      </w:r>
      <w:r w:rsidR="00072DF1" w:rsidRPr="00E1616B">
        <w:rPr>
          <w:rFonts w:ascii="Cambria" w:hAnsi="Cambria"/>
        </w:rPr>
        <w:t xml:space="preserve">Para finalizar, los adjuntos presentes concuerdan </w:t>
      </w:r>
      <w:r w:rsidR="00A82985" w:rsidRPr="00E1616B">
        <w:rPr>
          <w:rFonts w:ascii="Cambria" w:hAnsi="Cambria"/>
        </w:rPr>
        <w:t>que,</w:t>
      </w:r>
      <w:r w:rsidR="00072DF1" w:rsidRPr="00E1616B">
        <w:rPr>
          <w:rFonts w:ascii="Cambria" w:hAnsi="Cambria"/>
        </w:rPr>
        <w:t xml:space="preserve"> pese a no responder la interrogante del ciclo, sus aportes al comparar las distintas</w:t>
      </w:r>
      <w:r w:rsidR="00A82985" w:rsidRPr="00E1616B">
        <w:rPr>
          <w:rFonts w:ascii="Cambria" w:hAnsi="Cambria"/>
        </w:rPr>
        <w:t xml:space="preserve"> dosis</w:t>
      </w:r>
      <w:r w:rsidR="00072DF1" w:rsidRPr="00E1616B">
        <w:rPr>
          <w:rFonts w:ascii="Cambria" w:hAnsi="Cambria"/>
        </w:rPr>
        <w:t xml:space="preserve"> </w:t>
      </w:r>
      <w:r w:rsidR="00A82985" w:rsidRPr="00E1616B">
        <w:rPr>
          <w:rFonts w:ascii="Cambria" w:hAnsi="Cambria"/>
        </w:rPr>
        <w:t xml:space="preserve">de </w:t>
      </w:r>
      <w:proofErr w:type="spellStart"/>
      <w:r w:rsidR="00A82985" w:rsidRPr="00E1616B">
        <w:rPr>
          <w:rFonts w:ascii="Cambria" w:hAnsi="Cambria"/>
        </w:rPr>
        <w:t>Enoxaparina</w:t>
      </w:r>
      <w:proofErr w:type="spellEnd"/>
      <w:r w:rsidR="00A82985" w:rsidRPr="00E1616B">
        <w:rPr>
          <w:rFonts w:ascii="Cambria" w:hAnsi="Cambria"/>
        </w:rPr>
        <w:t xml:space="preserve"> sódica </w:t>
      </w:r>
      <w:r w:rsidRPr="00E1616B">
        <w:rPr>
          <w:rFonts w:ascii="Cambria" w:hAnsi="Cambria"/>
        </w:rPr>
        <w:t>(</w:t>
      </w:r>
      <w:r w:rsidR="00A82985" w:rsidRPr="00E1616B">
        <w:rPr>
          <w:rFonts w:ascii="Cambria" w:hAnsi="Cambria"/>
        </w:rPr>
        <w:t>dosis reducida vs estándar</w:t>
      </w:r>
      <w:r w:rsidRPr="00E1616B">
        <w:rPr>
          <w:rFonts w:ascii="Cambria" w:hAnsi="Cambria"/>
        </w:rPr>
        <w:t>)</w:t>
      </w:r>
      <w:r w:rsidR="00072DF1" w:rsidRPr="00E1616B">
        <w:rPr>
          <w:rFonts w:ascii="Cambria" w:hAnsi="Cambria"/>
        </w:rPr>
        <w:t xml:space="preserve"> </w:t>
      </w:r>
      <w:r w:rsidR="00A82985" w:rsidRPr="00E1616B">
        <w:rPr>
          <w:rFonts w:ascii="Cambria" w:hAnsi="Cambria"/>
        </w:rPr>
        <w:t>no muestran una evidencia de eventos cardiovasc</w:t>
      </w:r>
      <w:r w:rsidR="00DF612E" w:rsidRPr="00E1616B">
        <w:rPr>
          <w:rFonts w:ascii="Cambria" w:hAnsi="Cambria"/>
        </w:rPr>
        <w:t>ulares</w:t>
      </w:r>
      <w:r w:rsidRPr="00E1616B">
        <w:rPr>
          <w:rFonts w:ascii="Cambria" w:hAnsi="Cambria"/>
        </w:rPr>
        <w:t>,</w:t>
      </w:r>
      <w:r w:rsidR="00DF612E" w:rsidRPr="00E1616B">
        <w:rPr>
          <w:rFonts w:ascii="Cambria" w:hAnsi="Cambria"/>
        </w:rPr>
        <w:t xml:space="preserve"> lo que entonces nos puede orientar debido al comportamiento que tuvo el factor </w:t>
      </w:r>
      <w:r w:rsidRPr="00E1616B">
        <w:rPr>
          <w:rFonts w:ascii="Cambria" w:hAnsi="Cambria"/>
        </w:rPr>
        <w:t xml:space="preserve">anti </w:t>
      </w:r>
      <w:proofErr w:type="spellStart"/>
      <w:r w:rsidR="00DF612E" w:rsidRPr="00E1616B">
        <w:rPr>
          <w:rFonts w:ascii="Cambria" w:hAnsi="Cambria"/>
        </w:rPr>
        <w:t>Xa</w:t>
      </w:r>
      <w:proofErr w:type="spellEnd"/>
      <w:r w:rsidR="00DF612E" w:rsidRPr="00E1616B">
        <w:rPr>
          <w:rFonts w:ascii="Cambria" w:hAnsi="Cambria"/>
        </w:rPr>
        <w:t xml:space="preserve"> a realizar una nueva pauta en el servicio d</w:t>
      </w:r>
      <w:bookmarkStart w:id="0" w:name="_GoBack"/>
      <w:bookmarkEnd w:id="0"/>
      <w:r w:rsidR="00DF612E" w:rsidRPr="00E1616B">
        <w:rPr>
          <w:rFonts w:ascii="Cambria" w:hAnsi="Cambria"/>
        </w:rPr>
        <w:t>e unidad de cuidados coronarios.</w:t>
      </w:r>
    </w:p>
    <w:sectPr w:rsidR="003838C4" w:rsidRPr="00E1616B">
      <w:pgSz w:w="12240" w:h="15840"/>
      <w:pgMar w:top="1459" w:right="1638" w:bottom="15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A31"/>
    <w:multiLevelType w:val="hybridMultilevel"/>
    <w:tmpl w:val="0D3C3D46"/>
    <w:lvl w:ilvl="0" w:tplc="05C484A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2E4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236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014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EC3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AFE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279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05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66E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14742"/>
    <w:multiLevelType w:val="hybridMultilevel"/>
    <w:tmpl w:val="D160D62C"/>
    <w:lvl w:ilvl="0" w:tplc="20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CE2143E"/>
    <w:multiLevelType w:val="hybridMultilevel"/>
    <w:tmpl w:val="41B06360"/>
    <w:lvl w:ilvl="0" w:tplc="20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C4"/>
    <w:rsid w:val="00072DF1"/>
    <w:rsid w:val="00163C92"/>
    <w:rsid w:val="002F68C8"/>
    <w:rsid w:val="003838C4"/>
    <w:rsid w:val="00785E74"/>
    <w:rsid w:val="00853BA6"/>
    <w:rsid w:val="00A82985"/>
    <w:rsid w:val="00B4229D"/>
    <w:rsid w:val="00C71C3C"/>
    <w:rsid w:val="00D41E6B"/>
    <w:rsid w:val="00D609E4"/>
    <w:rsid w:val="00D84FDA"/>
    <w:rsid w:val="00DF612E"/>
    <w:rsid w:val="00E1616B"/>
    <w:rsid w:val="00EC7FFD"/>
    <w:rsid w:val="00F01368"/>
    <w:rsid w:val="00F8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32EF"/>
  <w15:docId w15:val="{C4E53199-F791-445A-AF86-8EC59AC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FF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16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1314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Endher José Castillo Mendoza</dc:creator>
  <cp:keywords/>
  <cp:lastModifiedBy>Endher Castillo</cp:lastModifiedBy>
  <cp:revision>5</cp:revision>
  <dcterms:created xsi:type="dcterms:W3CDTF">2023-02-13T20:03:00Z</dcterms:created>
  <dcterms:modified xsi:type="dcterms:W3CDTF">2023-02-16T23:31:00Z</dcterms:modified>
</cp:coreProperties>
</file>