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3A" w:rsidRDefault="00706562" w:rsidP="00706562">
      <w:pPr>
        <w:jc w:val="center"/>
      </w:pPr>
      <w:r>
        <w:t>EVIDENCIA CIENTIFICA</w:t>
      </w:r>
    </w:p>
    <w:p w:rsidR="00706562" w:rsidRDefault="00706562" w:rsidP="00706562">
      <w:pPr>
        <w:jc w:val="center"/>
      </w:pPr>
      <w:r>
        <w:t>ARTICULO 4 CICLO I 2022</w:t>
      </w:r>
    </w:p>
    <w:p w:rsidR="00706562" w:rsidRDefault="00706562" w:rsidP="00706562">
      <w:pPr>
        <w:jc w:val="center"/>
      </w:pPr>
    </w:p>
    <w:p w:rsidR="00706562" w:rsidRDefault="00FC0033" w:rsidP="00706562">
      <w:pPr>
        <w:jc w:val="both"/>
      </w:pPr>
      <w:r w:rsidRPr="00FC0033">
        <w:rPr>
          <w:b/>
        </w:rPr>
        <w:t>Fecha:</w:t>
      </w:r>
      <w:r>
        <w:t xml:space="preserve"> Lunes, 21 de febrero de 2022. </w:t>
      </w:r>
      <w:r w:rsidRPr="00FC0033">
        <w:rPr>
          <w:b/>
        </w:rPr>
        <w:t>Hora:</w:t>
      </w:r>
      <w:r>
        <w:t xml:space="preserve"> 12:30 pm. </w:t>
      </w:r>
      <w:r w:rsidRPr="00FC0033">
        <w:rPr>
          <w:b/>
        </w:rPr>
        <w:t>Lugar:</w:t>
      </w:r>
      <w:r>
        <w:t xml:space="preserve"> </w:t>
      </w:r>
      <w:proofErr w:type="spellStart"/>
      <w:r>
        <w:t>Auditorium</w:t>
      </w:r>
      <w:proofErr w:type="spellEnd"/>
      <w:r>
        <w:t xml:space="preserve"> de ASCARDIO.  </w:t>
      </w:r>
    </w:p>
    <w:p w:rsidR="00FC0033" w:rsidRDefault="00FC0033" w:rsidP="00706562">
      <w:pPr>
        <w:jc w:val="both"/>
      </w:pPr>
      <w:r w:rsidRPr="00FC0033">
        <w:rPr>
          <w:b/>
        </w:rPr>
        <w:t>Responsable:</w:t>
      </w:r>
      <w:r>
        <w:t xml:space="preserve"> Grupo 4 del postgrado de Cardiología Clínica.</w:t>
      </w:r>
    </w:p>
    <w:p w:rsidR="00FC0033" w:rsidRDefault="00FC0033" w:rsidP="00706562">
      <w:pPr>
        <w:jc w:val="both"/>
      </w:pPr>
      <w:r w:rsidRPr="00FC0033">
        <w:rPr>
          <w:b/>
        </w:rPr>
        <w:t>Ponente:</w:t>
      </w:r>
      <w:r>
        <w:t xml:space="preserve"> Dra. María Consuelo Herrera (Residente de tercer año).</w:t>
      </w:r>
    </w:p>
    <w:p w:rsidR="00FC0033" w:rsidRDefault="00FC0033" w:rsidP="00706562">
      <w:pPr>
        <w:jc w:val="both"/>
      </w:pPr>
      <w:r w:rsidRPr="00FC0033">
        <w:rPr>
          <w:b/>
        </w:rPr>
        <w:t>Relator:</w:t>
      </w:r>
      <w:r>
        <w:t xml:space="preserve"> Dr. Miguel Ascencio (Residente de segundo año).</w:t>
      </w:r>
    </w:p>
    <w:p w:rsidR="00FC0033" w:rsidRDefault="00FC0033" w:rsidP="00706562">
      <w:pPr>
        <w:jc w:val="both"/>
      </w:pPr>
      <w:r w:rsidRPr="00FC0033">
        <w:rPr>
          <w:b/>
        </w:rPr>
        <w:t>Integrantes del grupo 4:</w:t>
      </w:r>
      <w:r>
        <w:t xml:space="preserve"> Dra. Marlin Sánchez (Residente de tercer año), Dra. </w:t>
      </w:r>
      <w:proofErr w:type="spellStart"/>
      <w:r>
        <w:t>Nathaly</w:t>
      </w:r>
      <w:proofErr w:type="spellEnd"/>
      <w:r>
        <w:t xml:space="preserve"> </w:t>
      </w:r>
      <w:proofErr w:type="spellStart"/>
      <w:r>
        <w:t>Briceño</w:t>
      </w:r>
      <w:proofErr w:type="spellEnd"/>
      <w:r>
        <w:t xml:space="preserve"> (Residente de primer año).</w:t>
      </w:r>
    </w:p>
    <w:p w:rsidR="00FC0033" w:rsidRDefault="00FC0033" w:rsidP="00706562">
      <w:pPr>
        <w:jc w:val="both"/>
      </w:pPr>
      <w:r w:rsidRPr="00FC0033">
        <w:rPr>
          <w:b/>
        </w:rPr>
        <w:t>Asistentes</w:t>
      </w:r>
      <w:r>
        <w:t xml:space="preserve">: Dra. Elisabeth Infante, Dra. Raquel González, Dr. Reinaldo Ortiz, Dr. Ricardo Tovar, Residentes de postgrado de cardiología clínica, cardiología infantil y residentes asistenciales de Medicina Cardiovascular General. </w:t>
      </w:r>
    </w:p>
    <w:p w:rsidR="00FC0033" w:rsidRDefault="00A31A78" w:rsidP="00706562">
      <w:pPr>
        <w:jc w:val="both"/>
      </w:pPr>
      <w:r w:rsidRPr="00A31A78">
        <w:rPr>
          <w:b/>
        </w:rPr>
        <w:t>Interrogante del ciclo:</w:t>
      </w:r>
      <w:r w:rsidRPr="00A31A78">
        <w:t xml:space="preserve"> “En pacientes con shock cardiogénico de origen isquémico, en instituciones que cuentan con laboratorio de </w:t>
      </w:r>
      <w:proofErr w:type="spellStart"/>
      <w:r w:rsidRPr="00A31A78">
        <w:t>hemodinamia</w:t>
      </w:r>
      <w:proofErr w:type="spellEnd"/>
      <w:r w:rsidRPr="00A31A78">
        <w:t xml:space="preserve"> y cirugía cardiovascular, el soporte </w:t>
      </w:r>
      <w:proofErr w:type="spellStart"/>
      <w:r w:rsidRPr="00A31A78">
        <w:t>hemodinámico</w:t>
      </w:r>
      <w:proofErr w:type="spellEnd"/>
      <w:r w:rsidRPr="00A31A78">
        <w:t xml:space="preserve"> guiado por monitoreo invasivo versus no invasivo con ecocardiografía </w:t>
      </w:r>
      <w:proofErr w:type="spellStart"/>
      <w:r w:rsidRPr="00A31A78">
        <w:t>transtorácica</w:t>
      </w:r>
      <w:proofErr w:type="spellEnd"/>
      <w:r w:rsidRPr="00A31A78">
        <w:t xml:space="preserve"> ¿reduce la mortalidad?”</w:t>
      </w:r>
    </w:p>
    <w:p w:rsidR="00A31A78" w:rsidRDefault="00A31A78" w:rsidP="00706562">
      <w:pPr>
        <w:jc w:val="both"/>
      </w:pPr>
      <w:r w:rsidRPr="00A31A78">
        <w:rPr>
          <w:b/>
        </w:rPr>
        <w:t>Área de revisión:</w:t>
      </w:r>
      <w:r w:rsidRPr="00A31A78">
        <w:t xml:space="preserve"> Cuidados Intensivos Cardiovasculares. </w:t>
      </w:r>
    </w:p>
    <w:p w:rsidR="00A31A78" w:rsidRDefault="00A31A78" w:rsidP="00706562">
      <w:pPr>
        <w:jc w:val="both"/>
      </w:pPr>
      <w:r w:rsidRPr="00CA6508">
        <w:rPr>
          <w:b/>
        </w:rPr>
        <w:t xml:space="preserve">Estudio de revisión: </w:t>
      </w:r>
      <w:proofErr w:type="spellStart"/>
      <w:r w:rsidR="00CA6508" w:rsidRPr="00CA6508">
        <w:rPr>
          <w:i/>
        </w:rPr>
        <w:t>Right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Hearth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catheterization</w:t>
      </w:r>
      <w:proofErr w:type="spellEnd"/>
      <w:r w:rsidR="00CA6508" w:rsidRPr="00CA6508">
        <w:rPr>
          <w:i/>
        </w:rPr>
        <w:t xml:space="preserve"> in </w:t>
      </w:r>
      <w:proofErr w:type="spellStart"/>
      <w:r w:rsidR="00CA6508" w:rsidRPr="00CA6508">
        <w:rPr>
          <w:i/>
        </w:rPr>
        <w:t>Cardiogenic</w:t>
      </w:r>
      <w:proofErr w:type="spellEnd"/>
      <w:r w:rsidR="00CA6508" w:rsidRPr="00CA6508">
        <w:rPr>
          <w:i/>
        </w:rPr>
        <w:t xml:space="preserve"> Shock </w:t>
      </w:r>
      <w:proofErr w:type="spellStart"/>
      <w:r w:rsidR="00CA6508" w:rsidRPr="00CA6508">
        <w:rPr>
          <w:i/>
        </w:rPr>
        <w:t>is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associated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with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improved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outcomes</w:t>
      </w:r>
      <w:proofErr w:type="spellEnd"/>
      <w:r w:rsidR="00CA6508" w:rsidRPr="00CA6508">
        <w:rPr>
          <w:i/>
        </w:rPr>
        <w:t xml:space="preserve">: </w:t>
      </w:r>
      <w:proofErr w:type="spellStart"/>
      <w:r w:rsidR="00CA6508" w:rsidRPr="00CA6508">
        <w:rPr>
          <w:i/>
        </w:rPr>
        <w:t>Insights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from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the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Nationwide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readmissions</w:t>
      </w:r>
      <w:proofErr w:type="spellEnd"/>
      <w:r w:rsidR="00CA6508" w:rsidRPr="00CA6508">
        <w:rPr>
          <w:i/>
        </w:rPr>
        <w:t xml:space="preserve"> </w:t>
      </w:r>
      <w:proofErr w:type="spellStart"/>
      <w:r w:rsidR="00CA6508" w:rsidRPr="00CA6508">
        <w:rPr>
          <w:i/>
        </w:rPr>
        <w:t>database</w:t>
      </w:r>
      <w:proofErr w:type="spellEnd"/>
      <w:r w:rsidR="00CA6508" w:rsidRPr="00CA6508">
        <w:rPr>
          <w:i/>
        </w:rPr>
        <w:t xml:space="preserve"> </w:t>
      </w:r>
      <w:r w:rsidR="00CA6508" w:rsidRPr="00CA6508">
        <w:t xml:space="preserve">(El cateterismo del corazón derecho en el Shock cardiogénico se </w:t>
      </w:r>
      <w:r w:rsidR="00CA6508">
        <w:t>asocia con mejores resultados: Información de la base de datos de readmisiones a nivel nacional).</w:t>
      </w:r>
    </w:p>
    <w:p w:rsidR="00CA6508" w:rsidRDefault="00FA2955" w:rsidP="00706562">
      <w:pPr>
        <w:jc w:val="both"/>
      </w:pPr>
      <w:r w:rsidRPr="00FA2955">
        <w:rPr>
          <w:noProof/>
          <w:lang w:eastAsia="es-VE"/>
        </w:rPr>
        <w:drawing>
          <wp:inline distT="0" distB="0" distL="0" distR="0">
            <wp:extent cx="5568290" cy="2357252"/>
            <wp:effectExtent l="19050" t="0" r="0" b="0"/>
            <wp:docPr id="1" name="Imagen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9BBE03C-FF83-497A-A4EE-CFD3A25CE5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9BBE03C-FF83-497A-A4EE-CFD3A25CE5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7706" t="24363" r="13995" b="11419"/>
                    <a:stretch/>
                  </pic:blipFill>
                  <pic:spPr>
                    <a:xfrm>
                      <a:off x="0" y="0"/>
                      <a:ext cx="5567032" cy="235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55" w:rsidRPr="00231580" w:rsidRDefault="00231580" w:rsidP="00706562">
      <w:pPr>
        <w:jc w:val="both"/>
        <w:rPr>
          <w:b/>
        </w:rPr>
      </w:pPr>
      <w:r w:rsidRPr="00231580">
        <w:rPr>
          <w:b/>
        </w:rPr>
        <w:lastRenderedPageBreak/>
        <w:t>Aportes del Grupo:</w:t>
      </w:r>
    </w:p>
    <w:p w:rsidR="00E56B05" w:rsidRDefault="00E56B05" w:rsidP="00E56B05">
      <w:pPr>
        <w:pStyle w:val="Prrafodelista"/>
        <w:numPr>
          <w:ilvl w:val="0"/>
          <w:numId w:val="2"/>
        </w:numPr>
        <w:jc w:val="both"/>
      </w:pPr>
      <w:r w:rsidRPr="00E56B05">
        <w:t>Este artículo no responde la pregunta del ciclo.</w:t>
      </w:r>
    </w:p>
    <w:p w:rsidR="00E56B05" w:rsidRDefault="00E56B05" w:rsidP="00E56B05">
      <w:pPr>
        <w:pStyle w:val="Prrafodelista"/>
        <w:numPr>
          <w:ilvl w:val="0"/>
          <w:numId w:val="2"/>
        </w:numPr>
        <w:jc w:val="both"/>
      </w:pPr>
      <w:r w:rsidRPr="00E56B05">
        <w:t xml:space="preserve">No existe un método de comparación entre el grupo que se le realizó CCD Vs a los que no se les realizó CCD debido a que el estudio no informa como fue la monitorización en este grupo de pacientes. </w:t>
      </w:r>
    </w:p>
    <w:p w:rsidR="00231580" w:rsidRDefault="00E56B05" w:rsidP="00E56B05">
      <w:pPr>
        <w:pStyle w:val="Prrafodelista"/>
        <w:numPr>
          <w:ilvl w:val="0"/>
          <w:numId w:val="2"/>
        </w:numPr>
        <w:jc w:val="both"/>
      </w:pPr>
      <w:r w:rsidRPr="00E56B05">
        <w:t>Aporta información importante en cuanto al valor del CCD para la toma de decisiones terapéuticas basadas en resultados del mismo</w:t>
      </w:r>
      <w:r>
        <w:t>.</w:t>
      </w:r>
    </w:p>
    <w:p w:rsidR="00000000" w:rsidRPr="00E56B05" w:rsidRDefault="00E56B05" w:rsidP="00E56B05">
      <w:pPr>
        <w:pStyle w:val="Prrafodelista"/>
        <w:numPr>
          <w:ilvl w:val="0"/>
          <w:numId w:val="2"/>
        </w:numPr>
        <w:jc w:val="both"/>
      </w:pPr>
      <w:r w:rsidRPr="00E56B05">
        <w:t>El CCD da información útil para parámetros hemodinámicos y posterior a ello, predecir resultados, pronósticos y  estrategia terapéutica pero no influye en el reingreso hospitalari</w:t>
      </w:r>
      <w:r w:rsidRPr="00E56B05">
        <w:t xml:space="preserve">o. </w:t>
      </w:r>
    </w:p>
    <w:p w:rsidR="00000000" w:rsidRPr="00E56B05" w:rsidRDefault="00E56B05" w:rsidP="00E56B05">
      <w:pPr>
        <w:pStyle w:val="Prrafodelista"/>
        <w:numPr>
          <w:ilvl w:val="0"/>
          <w:numId w:val="2"/>
        </w:numPr>
        <w:jc w:val="both"/>
      </w:pPr>
      <w:r w:rsidRPr="00E56B05">
        <w:t>Los pacientes</w:t>
      </w:r>
      <w:r>
        <w:t xml:space="preserve"> con </w:t>
      </w:r>
      <w:proofErr w:type="spellStart"/>
      <w:r>
        <w:t>IMsEST</w:t>
      </w:r>
      <w:proofErr w:type="spellEnd"/>
      <w:r>
        <w:t xml:space="preserve"> se les realizó más</w:t>
      </w:r>
      <w:r w:rsidRPr="00E56B05">
        <w:t xml:space="preserve"> CCD, sin embargo, no informa si este grupo de pacientes fueron </w:t>
      </w:r>
      <w:proofErr w:type="spellStart"/>
      <w:r w:rsidRPr="00E56B05">
        <w:t>revascularizado</w:t>
      </w:r>
      <w:proofErr w:type="spellEnd"/>
      <w:r w:rsidRPr="00E56B05">
        <w:t xml:space="preserve"> y de esta forma influir en los resultados.</w:t>
      </w:r>
    </w:p>
    <w:p w:rsidR="00000000" w:rsidRPr="00E56B05" w:rsidRDefault="00E56B05" w:rsidP="00E56B05">
      <w:pPr>
        <w:pStyle w:val="Prrafodelista"/>
        <w:numPr>
          <w:ilvl w:val="0"/>
          <w:numId w:val="2"/>
        </w:numPr>
        <w:jc w:val="both"/>
      </w:pPr>
      <w:r w:rsidRPr="00E56B05">
        <w:t>Según lo analizado en el artículo</w:t>
      </w:r>
      <w:r w:rsidRPr="00E56B05">
        <w:t xml:space="preserve"> el porcentaje readmisión a los 30 días, el tiemp</w:t>
      </w:r>
      <w:r w:rsidRPr="00E56B05">
        <w:t xml:space="preserve">o fuera del hospital y el porcentaje de mortalidad al reingreso no fue significativo. </w:t>
      </w:r>
    </w:p>
    <w:p w:rsidR="00E56B05" w:rsidRDefault="00E56B05" w:rsidP="00E56B05">
      <w:pPr>
        <w:pStyle w:val="Prrafodelista"/>
        <w:jc w:val="both"/>
      </w:pPr>
    </w:p>
    <w:p w:rsidR="00231580" w:rsidRDefault="00231580" w:rsidP="00706562">
      <w:pPr>
        <w:jc w:val="both"/>
      </w:pPr>
      <w:r w:rsidRPr="00231580">
        <w:rPr>
          <w:b/>
        </w:rPr>
        <w:t>Primera parte:</w:t>
      </w:r>
      <w:r>
        <w:t xml:space="preserve"> Ensayos clínicos </w:t>
      </w:r>
      <w:proofErr w:type="spellStart"/>
      <w:r>
        <w:t>aleatorizados</w:t>
      </w:r>
      <w:proofErr w:type="spellEnd"/>
      <w:r>
        <w:t xml:space="preserve">. Índice de propensión (Presentado por Dra. </w:t>
      </w:r>
      <w:proofErr w:type="spellStart"/>
      <w:r>
        <w:t>Nathaly</w:t>
      </w:r>
      <w:proofErr w:type="spellEnd"/>
      <w:r>
        <w:t xml:space="preserve"> </w:t>
      </w:r>
      <w:proofErr w:type="spellStart"/>
      <w:r>
        <w:t>Briceño</w:t>
      </w:r>
      <w:proofErr w:type="spellEnd"/>
      <w:r>
        <w:t>, Residente de primer año del postgrado de Cardiología Clínica).</w:t>
      </w:r>
    </w:p>
    <w:p w:rsidR="00231580" w:rsidRDefault="00231580" w:rsidP="00706562">
      <w:pPr>
        <w:jc w:val="both"/>
        <w:rPr>
          <w:b/>
        </w:rPr>
      </w:pPr>
    </w:p>
    <w:p w:rsidR="00231580" w:rsidRDefault="00231580" w:rsidP="00706562">
      <w:pPr>
        <w:jc w:val="both"/>
      </w:pPr>
      <w:r w:rsidRPr="00231580">
        <w:rPr>
          <w:b/>
        </w:rPr>
        <w:t>Segunda parte:</w:t>
      </w:r>
      <w:r>
        <w:t xml:space="preserve"> Presentación del artículo de evidencia científica (Presentado por la Dra. María Herrera, Residente de segundo año del postgrado de Cardiología Clínica).</w:t>
      </w:r>
    </w:p>
    <w:p w:rsidR="00231580" w:rsidRDefault="00231580" w:rsidP="00706562">
      <w:pPr>
        <w:jc w:val="both"/>
        <w:rPr>
          <w:b/>
        </w:rPr>
      </w:pPr>
    </w:p>
    <w:p w:rsidR="00231580" w:rsidRPr="00231580" w:rsidRDefault="00231580" w:rsidP="00706562">
      <w:pPr>
        <w:jc w:val="both"/>
        <w:rPr>
          <w:b/>
        </w:rPr>
      </w:pPr>
      <w:r w:rsidRPr="00231580">
        <w:rPr>
          <w:b/>
        </w:rPr>
        <w:t>Intervenciones de los asistentes y discusión final:</w:t>
      </w:r>
    </w:p>
    <w:p w:rsidR="00F30315" w:rsidRPr="00F30315" w:rsidRDefault="00231580" w:rsidP="00F30315">
      <w:pPr>
        <w:jc w:val="both"/>
      </w:pPr>
      <w:r w:rsidRPr="00231580">
        <w:t xml:space="preserve">• El Dr. Ricardo Tovar </w:t>
      </w:r>
      <w:r w:rsidR="00F30315">
        <w:t>h</w:t>
      </w:r>
      <w:r w:rsidR="00F30315" w:rsidRPr="00F30315">
        <w:t xml:space="preserve">ace énfasis de que </w:t>
      </w:r>
      <w:r w:rsidR="00F30315">
        <w:t xml:space="preserve">realmente </w:t>
      </w:r>
      <w:r w:rsidR="00F30315" w:rsidRPr="00F30315">
        <w:t>todos los pacientes presentaron shock cardiogénico.</w:t>
      </w:r>
      <w:r w:rsidR="00F30315">
        <w:t xml:space="preserve"> Además </w:t>
      </w:r>
      <w:r w:rsidR="00F30315" w:rsidRPr="00F30315">
        <w:t xml:space="preserve"> </w:t>
      </w:r>
      <w:r w:rsidR="00F30315">
        <w:t>comenta</w:t>
      </w:r>
      <w:r w:rsidR="00F30315" w:rsidRPr="00F30315">
        <w:t xml:space="preserve"> sobre la figura </w:t>
      </w:r>
      <w:r w:rsidR="00F30315">
        <w:t xml:space="preserve">N° </w:t>
      </w:r>
      <w:r w:rsidR="00F30315" w:rsidRPr="00F30315">
        <w:t xml:space="preserve">2  que el aumento de 6,05 veces de trasplantes es gracias al uso del cateterismo derecho que permite identificar a los pacientes q lo ameritan. </w:t>
      </w:r>
    </w:p>
    <w:p w:rsidR="00F30315" w:rsidRDefault="00231580" w:rsidP="00F30315">
      <w:pPr>
        <w:jc w:val="both"/>
      </w:pPr>
      <w:r w:rsidRPr="00231580">
        <w:t xml:space="preserve">• La Dra. Raquel González </w:t>
      </w:r>
      <w:r w:rsidR="00F30315">
        <w:t>hace énfasis sobre la correlación de la muerte con la readmisión representada en la figura N° 2 del estudio.</w:t>
      </w:r>
    </w:p>
    <w:p w:rsidR="00F30315" w:rsidRDefault="00231580" w:rsidP="00F30315">
      <w:pPr>
        <w:jc w:val="both"/>
      </w:pPr>
      <w:r w:rsidRPr="00231580">
        <w:t xml:space="preserve">• El Dr. Reinaldo Ortiz </w:t>
      </w:r>
      <w:r w:rsidR="00F30315">
        <w:t xml:space="preserve">comenta sobre </w:t>
      </w:r>
      <w:r w:rsidR="00F30315" w:rsidRPr="003101C3">
        <w:t xml:space="preserve">la ética aplicada para discriminar quien ameritaba el uso del cateterismo cardiaco y </w:t>
      </w:r>
      <w:r w:rsidR="00E56B05" w:rsidRPr="003101C3">
        <w:t>quién</w:t>
      </w:r>
      <w:r w:rsidR="00F30315" w:rsidRPr="003101C3">
        <w:t xml:space="preserve"> no</w:t>
      </w:r>
      <w:r w:rsidR="00F30315">
        <w:t>.</w:t>
      </w:r>
    </w:p>
    <w:p w:rsidR="00F30315" w:rsidRPr="003101C3" w:rsidRDefault="00F30315" w:rsidP="00F30315">
      <w:pPr>
        <w:jc w:val="both"/>
      </w:pPr>
      <w:r w:rsidRPr="00231580">
        <w:t xml:space="preserve">• </w:t>
      </w:r>
      <w:r>
        <w:t>La Dra. Elizabeth Infante</w:t>
      </w:r>
      <w:r w:rsidRPr="00231580">
        <w:t xml:space="preserve"> </w:t>
      </w:r>
      <w:r>
        <w:t xml:space="preserve">resalta </w:t>
      </w:r>
      <w:r w:rsidRPr="003101C3">
        <w:t>sobre dos tipos de análisis</w:t>
      </w:r>
      <w:r>
        <w:t xml:space="preserve"> en el estudio, en referencia a</w:t>
      </w:r>
      <w:r w:rsidR="0010216F">
        <w:t xml:space="preserve"> dos subgrupos estudiados, donde</w:t>
      </w:r>
      <w:r w:rsidRPr="003101C3">
        <w:t xml:space="preserve"> </w:t>
      </w:r>
      <w:r w:rsidR="0010216F">
        <w:t>el diseño del</w:t>
      </w:r>
      <w:r w:rsidRPr="003101C3">
        <w:t xml:space="preserve"> estudio incluye emparejamiento, pero los dos subgrupos adicionales a estudiar tienen otra metodología que no menciona el artículo, que deberá ser tomado en cuenta al analizar los resultados.</w:t>
      </w:r>
      <w:r w:rsidR="0010216F">
        <w:t xml:space="preserve"> Referente a la </w:t>
      </w:r>
      <w:r w:rsidRPr="003101C3">
        <w:t>Fig</w:t>
      </w:r>
      <w:r w:rsidR="0010216F">
        <w:t>ura N°</w:t>
      </w:r>
      <w:r w:rsidRPr="003101C3">
        <w:t xml:space="preserve"> 2</w:t>
      </w:r>
      <w:r w:rsidR="0010216F">
        <w:t xml:space="preserve"> hace mención sobre la correlación entre el riesgo alto de reingreso </w:t>
      </w:r>
      <w:r w:rsidRPr="003101C3">
        <w:t xml:space="preserve">y trasplante o DAVI (6,05) </w:t>
      </w:r>
      <w:r w:rsidR="0010216F">
        <w:t>y la mortalidad reportada.</w:t>
      </w:r>
    </w:p>
    <w:p w:rsidR="00F30315" w:rsidRPr="003101C3" w:rsidRDefault="0010216F" w:rsidP="00F30315">
      <w:pPr>
        <w:jc w:val="both"/>
      </w:pPr>
      <w:r>
        <w:lastRenderedPageBreak/>
        <w:t xml:space="preserve">A su vez, </w:t>
      </w:r>
      <w:r w:rsidR="00F30315" w:rsidRPr="003101C3">
        <w:t xml:space="preserve">hace énfasis en </w:t>
      </w:r>
      <w:r>
        <w:t xml:space="preserve">que es un estudio retrospectivo, en donde la ética no aplica para la realización del mismo. Plantea que no </w:t>
      </w:r>
      <w:r w:rsidR="00F30315" w:rsidRPr="003101C3">
        <w:t xml:space="preserve">explican como </w:t>
      </w:r>
      <w:r>
        <w:t>aplicaron</w:t>
      </w:r>
      <w:r w:rsidR="00F30315" w:rsidRPr="003101C3">
        <w:t xml:space="preserve"> realmente el emparejamiento</w:t>
      </w:r>
      <w:r>
        <w:t>, de haberlo hecho realmente, ya que a n</w:t>
      </w:r>
      <w:r w:rsidR="00F30315" w:rsidRPr="003101C3">
        <w:t xml:space="preserve"> es diferente en ambos grupos. El grupo de cateterismo derecho solo fue aprox</w:t>
      </w:r>
      <w:r>
        <w:t>imadamente un 15% de la n</w:t>
      </w:r>
      <w:r w:rsidR="00F30315" w:rsidRPr="003101C3">
        <w:t xml:space="preserve"> total.</w:t>
      </w:r>
      <w:r>
        <w:t xml:space="preserve"> Finalmente,</w:t>
      </w:r>
      <w:r w:rsidR="00F30315" w:rsidRPr="003101C3">
        <w:t xml:space="preserve"> los resultados planteados respecto a la función renal en</w:t>
      </w:r>
      <w:r>
        <w:t xml:space="preserve"> las características basales son confusos para considerar su real aporte en la clínica.</w:t>
      </w:r>
    </w:p>
    <w:p w:rsidR="005C073D" w:rsidRDefault="00231580" w:rsidP="005C073D">
      <w:pPr>
        <w:jc w:val="both"/>
      </w:pPr>
      <w:r w:rsidRPr="00231580">
        <w:t xml:space="preserve"> </w:t>
      </w:r>
      <w:r w:rsidR="005C073D" w:rsidRPr="00231580">
        <w:t xml:space="preserve">• El Dr. </w:t>
      </w:r>
      <w:r w:rsidR="00F30315">
        <w:t>Gianfranco Corb</w:t>
      </w:r>
      <w:r w:rsidR="005C073D">
        <w:t>ascio</w:t>
      </w:r>
      <w:r w:rsidR="005C073D" w:rsidRPr="00231580">
        <w:t xml:space="preserve"> (</w:t>
      </w:r>
      <w:r w:rsidR="005C073D">
        <w:t>Residente de tercer año</w:t>
      </w:r>
      <w:r w:rsidR="005C073D" w:rsidRPr="00231580">
        <w:t xml:space="preserve">), resalta la </w:t>
      </w:r>
      <w:r w:rsidR="005C073D">
        <w:t>incertidumbre sobre la aplicación real del índice de propensión y el emparejamiento propuesto en la metodología del estudio.</w:t>
      </w:r>
    </w:p>
    <w:p w:rsidR="005C073D" w:rsidRPr="00CA6508" w:rsidRDefault="005C073D" w:rsidP="00706562">
      <w:pPr>
        <w:jc w:val="both"/>
      </w:pPr>
    </w:p>
    <w:sectPr w:rsidR="005C073D" w:rsidRPr="00CA6508" w:rsidSect="00961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9AA"/>
    <w:multiLevelType w:val="hybridMultilevel"/>
    <w:tmpl w:val="8A80BEEC"/>
    <w:lvl w:ilvl="0" w:tplc="DB54B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05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1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7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08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2F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D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460F2B"/>
    <w:multiLevelType w:val="hybridMultilevel"/>
    <w:tmpl w:val="03402EC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029"/>
    <w:multiLevelType w:val="hybridMultilevel"/>
    <w:tmpl w:val="DA686EE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C2189"/>
    <w:rsid w:val="000C2189"/>
    <w:rsid w:val="0010216F"/>
    <w:rsid w:val="001B6DE8"/>
    <w:rsid w:val="00231580"/>
    <w:rsid w:val="005C073D"/>
    <w:rsid w:val="00706562"/>
    <w:rsid w:val="0096133A"/>
    <w:rsid w:val="00A31A78"/>
    <w:rsid w:val="00CA6508"/>
    <w:rsid w:val="00E56B05"/>
    <w:rsid w:val="00F30315"/>
    <w:rsid w:val="00FA2955"/>
    <w:rsid w:val="00FC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12</cp:revision>
  <dcterms:created xsi:type="dcterms:W3CDTF">2022-02-24T12:49:00Z</dcterms:created>
  <dcterms:modified xsi:type="dcterms:W3CDTF">2022-02-24T21:56:00Z</dcterms:modified>
</cp:coreProperties>
</file>